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B961" w14:textId="3310AC0B" w:rsidR="00343C7B" w:rsidRPr="00343C7B" w:rsidRDefault="00343C7B" w:rsidP="00343C7B">
      <w:pPr>
        <w:jc w:val="center"/>
        <w:rPr>
          <w:b/>
          <w:bCs/>
          <w:sz w:val="72"/>
          <w:szCs w:val="72"/>
        </w:rPr>
      </w:pPr>
      <w:r w:rsidRPr="00343C7B">
        <w:rPr>
          <w:b/>
          <w:bCs/>
          <w:sz w:val="72"/>
          <w:szCs w:val="72"/>
        </w:rPr>
        <w:t xml:space="preserve">Respect, </w:t>
      </w:r>
      <w:r>
        <w:rPr>
          <w:b/>
          <w:bCs/>
          <w:sz w:val="72"/>
          <w:szCs w:val="72"/>
        </w:rPr>
        <w:t>i</w:t>
      </w:r>
      <w:r w:rsidRPr="00343C7B">
        <w:rPr>
          <w:b/>
          <w:bCs/>
          <w:sz w:val="72"/>
          <w:szCs w:val="72"/>
        </w:rPr>
        <w:t xml:space="preserve">nclusion &amp; </w:t>
      </w:r>
      <w:r>
        <w:rPr>
          <w:b/>
          <w:bCs/>
          <w:sz w:val="72"/>
          <w:szCs w:val="72"/>
        </w:rPr>
        <w:t>b</w:t>
      </w:r>
      <w:r w:rsidRPr="00343C7B">
        <w:rPr>
          <w:b/>
          <w:bCs/>
          <w:sz w:val="72"/>
          <w:szCs w:val="72"/>
        </w:rPr>
        <w:t>elonging</w:t>
      </w:r>
    </w:p>
    <w:p w14:paraId="5FB86A21" w14:textId="77777777" w:rsidR="006134BE" w:rsidRPr="006134BE" w:rsidRDefault="006134BE" w:rsidP="00343C7B">
      <w:pPr>
        <w:rPr>
          <w:b/>
          <w:bCs/>
        </w:rPr>
      </w:pPr>
      <w:r w:rsidRPr="006134BE">
        <w:rPr>
          <w:b/>
          <w:bCs/>
        </w:rPr>
        <w:t>Policy statement</w:t>
      </w:r>
    </w:p>
    <w:p w14:paraId="23FC96F4" w14:textId="443C7DF1" w:rsidR="00343C7B" w:rsidRDefault="00343C7B" w:rsidP="00343C7B">
      <w:r>
        <w:t>M Group, its Chief Executive and the Operational board, are dedicated to role modelling inclusive leadership behaviours that foster a culture of respect, inclusion, and belonging. We’re committed to providing the leadership needed to ensure our businesses are investing the time, energy, and resources required to enhance diversity - in all its forms - and at every level. Additionally, we advocate for more equitable ways of working that harnesses the talents of our workforce for the benefit of our clients, customers, and communities.</w:t>
      </w:r>
    </w:p>
    <w:p w14:paraId="723B8946" w14:textId="171E56E0" w:rsidR="00343C7B" w:rsidRDefault="00343C7B" w:rsidP="00343C7B">
      <w:r>
        <w:t>The aim of this policy is to ensure we are an organisation in which diversity is apparent, welcomed and respected. And that we have inclusive and equitable workplaces where our people can achieve their personal ambitions, while contributing their various talents, abilities, skills and experiences towards our sustained commercial success.</w:t>
      </w:r>
    </w:p>
    <w:p w14:paraId="710E3F55" w14:textId="1E8A1B79" w:rsidR="00343C7B" w:rsidRDefault="00343C7B" w:rsidP="00343C7B">
      <w:r>
        <w:t xml:space="preserve">The purpose of this policy is to set out in more detail how everyone who works for and with the Group, should deliver commitments set out in our company code of conduct and values. These include. </w:t>
      </w:r>
    </w:p>
    <w:p w14:paraId="4AA0984A" w14:textId="02DB35A7" w:rsidR="00343C7B" w:rsidRDefault="00343C7B" w:rsidP="00343C7B">
      <w:pPr>
        <w:pStyle w:val="ListParagraph"/>
        <w:numPr>
          <w:ilvl w:val="0"/>
          <w:numId w:val="15"/>
        </w:numPr>
      </w:pPr>
      <w:r>
        <w:t>Providing an environment free from discrimination, bullying, harassment or victimisation, where all our people are treated with dignity and respect.</w:t>
      </w:r>
    </w:p>
    <w:p w14:paraId="0DFF24D4" w14:textId="3BF9431E" w:rsidR="00343C7B" w:rsidRDefault="00343C7B" w:rsidP="00343C7B">
      <w:pPr>
        <w:pStyle w:val="ListParagraph"/>
        <w:numPr>
          <w:ilvl w:val="0"/>
          <w:numId w:val="15"/>
        </w:numPr>
      </w:pPr>
      <w:r>
        <w:t>Engaging and empowering everyone to deliver and grow.</w:t>
      </w:r>
    </w:p>
    <w:p w14:paraId="1034999B" w14:textId="04C78968" w:rsidR="00343C7B" w:rsidRDefault="00343C7B" w:rsidP="00343C7B">
      <w:pPr>
        <w:pStyle w:val="ListParagraph"/>
        <w:numPr>
          <w:ilvl w:val="0"/>
          <w:numId w:val="15"/>
        </w:numPr>
      </w:pPr>
      <w:r>
        <w:t>Conducting ourselves with respect, openness, accountability and honesty in all our operations.</w:t>
      </w:r>
    </w:p>
    <w:p w14:paraId="4CF598D0" w14:textId="58098F0B" w:rsidR="00343C7B" w:rsidRDefault="00343C7B" w:rsidP="00343C7B">
      <w:r>
        <w:t>This matters to us because we put the health, wellbeing and safety of our people first. We know more diverse teams, working in inclusive cultures, are safer. They’re also better able to understand and serve our clients, customers, and communities. More open and equitable teams, where everyone has the support they need, and opportunities they deserve, are also more innovative and creative.</w:t>
      </w:r>
    </w:p>
    <w:p w14:paraId="29FB3D8C" w14:textId="412BF735" w:rsidR="00343C7B" w:rsidRDefault="00343C7B" w:rsidP="00343C7B">
      <w:r>
        <w:t>We expect everyone working for or on behalf of our Group or any of its operating businesses, to adhere to this policy. This includes in communications, actions and behaviour at work as well as those outside work, where they are clearly identifiable as M Group colleagues. This policy also applies to our suppliers and will be issued as part of our standard procurement terms and conditions. We’ll only engage with recruitment and executive search firms who share our commitment to inclusion.</w:t>
      </w:r>
    </w:p>
    <w:p w14:paraId="2674ED24" w14:textId="16B3281C" w:rsidR="00343C7B" w:rsidRDefault="00343C7B" w:rsidP="00343C7B">
      <w:r>
        <w:t xml:space="preserve">The policy requires, as a minimum of those covered by it, we do not discriminate, harass or victimise others on the grounds of those characteristics protected in the UK Equality Act 2010 i.e. age, disability, gender reassignment, marriage and civil partnership, pregnancy and maternity, race, religion or belief, sex, or sexual orientation. </w:t>
      </w:r>
    </w:p>
    <w:p w14:paraId="6EBA4A47" w14:textId="4FD90CBE" w:rsidR="00343C7B" w:rsidRDefault="00343C7B" w:rsidP="00343C7B">
      <w:r>
        <w:t xml:space="preserve">We expect our people to respectfully challenge any behaviours that breach this policy, where they feel able to do so. Or if not, to report them to their line manager, People team, or the Whistleblowing helpline. Reports will be fully investigated in line with our procedures and could result in disciplinary action. </w:t>
      </w:r>
    </w:p>
    <w:p w14:paraId="2251CB49" w14:textId="76A6222D" w:rsidR="00343C7B" w:rsidRPr="00343C7B" w:rsidRDefault="00343C7B" w:rsidP="00343C7B">
      <w:pPr>
        <w:rPr>
          <w:b/>
          <w:bCs/>
        </w:rPr>
      </w:pPr>
      <w:r w:rsidRPr="00343C7B">
        <w:rPr>
          <w:b/>
          <w:bCs/>
        </w:rPr>
        <w:t>These principles will translate this policy into practice</w:t>
      </w:r>
      <w:r>
        <w:rPr>
          <w:b/>
          <w:bCs/>
        </w:rPr>
        <w:t>:</w:t>
      </w:r>
    </w:p>
    <w:p w14:paraId="36F0865D" w14:textId="77777777" w:rsidR="00343C7B" w:rsidRDefault="00343C7B" w:rsidP="00343C7B">
      <w:r>
        <w:t>Zero tolerance</w:t>
      </w:r>
    </w:p>
    <w:p w14:paraId="445F6544" w14:textId="77777777" w:rsidR="00343C7B" w:rsidRDefault="00343C7B" w:rsidP="00343C7B">
      <w:r>
        <w:lastRenderedPageBreak/>
        <w:t xml:space="preserve">Our position on discrimination, harassment or victimisation. </w:t>
      </w:r>
    </w:p>
    <w:p w14:paraId="1ABCC67C" w14:textId="77777777" w:rsidR="00343C7B" w:rsidRPr="00343C7B" w:rsidRDefault="00343C7B" w:rsidP="00343C7B">
      <w:pPr>
        <w:rPr>
          <w:b/>
          <w:bCs/>
        </w:rPr>
      </w:pPr>
      <w:r w:rsidRPr="00343C7B">
        <w:rPr>
          <w:b/>
          <w:bCs/>
        </w:rPr>
        <w:t>Going beyond</w:t>
      </w:r>
    </w:p>
    <w:p w14:paraId="57174249" w14:textId="636B90E3" w:rsidR="00343C7B" w:rsidRDefault="00343C7B" w:rsidP="00343C7B">
      <w:r>
        <w:t>How we’ll hardwire the commitments in this policy into everything we do:</w:t>
      </w:r>
    </w:p>
    <w:p w14:paraId="3256D00C" w14:textId="019E5F67" w:rsidR="00343C7B" w:rsidRDefault="00343C7B" w:rsidP="00343C7B">
      <w:pPr>
        <w:pStyle w:val="ListParagraph"/>
        <w:numPr>
          <w:ilvl w:val="0"/>
          <w:numId w:val="17"/>
        </w:numPr>
      </w:pPr>
      <w:r>
        <w:t>Beyond compliance – we’ll live up to our values and not adopt a tick box approach</w:t>
      </w:r>
    </w:p>
    <w:p w14:paraId="47783AEB" w14:textId="60196D30" w:rsidR="00343C7B" w:rsidRDefault="00343C7B" w:rsidP="00343C7B">
      <w:pPr>
        <w:pStyle w:val="ListParagraph"/>
        <w:numPr>
          <w:ilvl w:val="0"/>
          <w:numId w:val="17"/>
        </w:numPr>
      </w:pPr>
      <w:r>
        <w:t>Beyond recruitment – we’ll look for ways to make our hire-to-retire policies, practices and processes more equitable</w:t>
      </w:r>
    </w:p>
    <w:p w14:paraId="6A792C0D" w14:textId="4EFFCA29" w:rsidR="00343C7B" w:rsidRDefault="00343C7B" w:rsidP="00343C7B">
      <w:pPr>
        <w:pStyle w:val="ListParagraph"/>
        <w:numPr>
          <w:ilvl w:val="0"/>
          <w:numId w:val="17"/>
        </w:numPr>
      </w:pPr>
      <w:r>
        <w:t>Beyond equality – we’ll move from simply treating everyone the same (equality) to an approach based on meeting everyone’s needs (equity) to achieve fairer, more open and equal outcomes</w:t>
      </w:r>
    </w:p>
    <w:p w14:paraId="459BD107" w14:textId="7BD389A5" w:rsidR="00343C7B" w:rsidRDefault="00343C7B" w:rsidP="00343C7B">
      <w:pPr>
        <w:pStyle w:val="ListParagraph"/>
        <w:numPr>
          <w:ilvl w:val="0"/>
          <w:numId w:val="17"/>
        </w:numPr>
      </w:pPr>
      <w:r>
        <w:t>Beyond gender – we’ll factor in actions needed to ensure we are truly diverse, at all levels</w:t>
      </w:r>
    </w:p>
    <w:p w14:paraId="05AEDF60" w14:textId="4DA9CD83" w:rsidR="00343C7B" w:rsidRDefault="00343C7B" w:rsidP="00343C7B">
      <w:pPr>
        <w:pStyle w:val="ListParagraph"/>
        <w:numPr>
          <w:ilvl w:val="0"/>
          <w:numId w:val="17"/>
        </w:numPr>
      </w:pPr>
      <w:r>
        <w:t>Beyond blue-badge parking – we’ll make the proactive and reactive adjustments needed by our existing and future disabled and neurodivergent colleagues, when reasonable</w:t>
      </w:r>
    </w:p>
    <w:p w14:paraId="20BC1395" w14:textId="66B944A8" w:rsidR="00343C7B" w:rsidRDefault="00343C7B" w:rsidP="00343C7B">
      <w:pPr>
        <w:pStyle w:val="ListParagraph"/>
        <w:numPr>
          <w:ilvl w:val="0"/>
          <w:numId w:val="17"/>
        </w:numPr>
      </w:pPr>
      <w:r>
        <w:t>Beyond People – we’ll ask every team to play its part for example by procuring diverse suppliers.</w:t>
      </w:r>
    </w:p>
    <w:p w14:paraId="6A480D53" w14:textId="77777777" w:rsidR="00343C7B" w:rsidRPr="00343C7B" w:rsidRDefault="00343C7B" w:rsidP="00343C7B">
      <w:pPr>
        <w:rPr>
          <w:b/>
          <w:bCs/>
        </w:rPr>
      </w:pPr>
      <w:r w:rsidRPr="00343C7B">
        <w:rPr>
          <w:b/>
          <w:bCs/>
        </w:rPr>
        <w:t>Inclusion by design</w:t>
      </w:r>
    </w:p>
    <w:p w14:paraId="69340CF4" w14:textId="4ADD406E" w:rsidR="00343C7B" w:rsidRDefault="00343C7B" w:rsidP="00343C7B">
      <w:r>
        <w:t>We’ll listen to, learn from and respond to the feedback our people give us so our leadership, our behaviours and our cultures are more inclusive.</w:t>
      </w:r>
    </w:p>
    <w:p w14:paraId="0CE1EAC0" w14:textId="77777777" w:rsidR="00343C7B" w:rsidRPr="00343C7B" w:rsidRDefault="00343C7B" w:rsidP="00343C7B">
      <w:pPr>
        <w:rPr>
          <w:b/>
          <w:bCs/>
        </w:rPr>
      </w:pPr>
      <w:r w:rsidRPr="00343C7B">
        <w:rPr>
          <w:b/>
          <w:bCs/>
        </w:rPr>
        <w:t>Sustainable change</w:t>
      </w:r>
    </w:p>
    <w:p w14:paraId="51F76FC3" w14:textId="58161E32" w:rsidR="00343C7B" w:rsidRDefault="00343C7B" w:rsidP="00343C7B">
      <w:r>
        <w:t>We’ll adopt the same level of rigour to inclusion that we would do for any other strategic business priority, not least, evidence-based problem definitions, understanding of root causes, research-led solutions, rigorous tracking and course correction and adequate resourcing.</w:t>
      </w:r>
    </w:p>
    <w:p w14:paraId="1C876588" w14:textId="1D696139" w:rsidR="00343C7B" w:rsidRPr="00343C7B" w:rsidRDefault="00343C7B" w:rsidP="00343C7B">
      <w:pPr>
        <w:rPr>
          <w:b/>
          <w:bCs/>
        </w:rPr>
      </w:pPr>
      <w:r w:rsidRPr="00343C7B">
        <w:rPr>
          <w:b/>
          <w:bCs/>
        </w:rPr>
        <w:t xml:space="preserve">Roles and </w:t>
      </w:r>
      <w:r>
        <w:rPr>
          <w:b/>
          <w:bCs/>
        </w:rPr>
        <w:t>r</w:t>
      </w:r>
      <w:r w:rsidRPr="00343C7B">
        <w:rPr>
          <w:b/>
          <w:bCs/>
        </w:rPr>
        <w:t>esponsibilities</w:t>
      </w:r>
    </w:p>
    <w:p w14:paraId="114ED625" w14:textId="77777777" w:rsidR="00343C7B" w:rsidRDefault="00343C7B" w:rsidP="00343C7B">
      <w:r>
        <w:t>Inclusion is everyone’s responsibility however, to ensure action and accountability we need to be clear that:</w:t>
      </w:r>
    </w:p>
    <w:p w14:paraId="187A04B6" w14:textId="609AFABB" w:rsidR="00343C7B" w:rsidRDefault="00343C7B" w:rsidP="00343C7B">
      <w:r>
        <w:t>Executive board</w:t>
      </w:r>
    </w:p>
    <w:p w14:paraId="1C138798" w14:textId="76F88BD4" w:rsidR="00343C7B" w:rsidRDefault="00343C7B" w:rsidP="00343C7B">
      <w:pPr>
        <w:pStyle w:val="ListParagraph"/>
        <w:numPr>
          <w:ilvl w:val="0"/>
          <w:numId w:val="20"/>
        </w:numPr>
      </w:pPr>
      <w:r>
        <w:t>The Executive Board is accountable for ensuring this policy is clearly communicated, understood, and effectively implemented across our Group.</w:t>
      </w:r>
    </w:p>
    <w:p w14:paraId="3445A504" w14:textId="3A21DAA0" w:rsidR="00343C7B" w:rsidRPr="00343C7B" w:rsidRDefault="00343C7B" w:rsidP="00343C7B">
      <w:pPr>
        <w:rPr>
          <w:b/>
          <w:bCs/>
        </w:rPr>
      </w:pPr>
      <w:r w:rsidRPr="00343C7B">
        <w:rPr>
          <w:b/>
          <w:bCs/>
        </w:rPr>
        <w:t>Department heads</w:t>
      </w:r>
    </w:p>
    <w:p w14:paraId="6ED85946" w14:textId="378A44FB" w:rsidR="00343C7B" w:rsidRDefault="00343C7B" w:rsidP="00343C7B">
      <w:pPr>
        <w:pStyle w:val="ListParagraph"/>
        <w:numPr>
          <w:ilvl w:val="0"/>
          <w:numId w:val="21"/>
        </w:numPr>
      </w:pPr>
      <w:r>
        <w:t>Department heads are responsible for driving continuous improvement in equity, diversity, and inclusion. This includes embedding open, fair, and inclusive approaches into policies, strategies, plans, systems, decisions, and daily ways of working.</w:t>
      </w:r>
    </w:p>
    <w:p w14:paraId="0625FB73" w14:textId="769444FD" w:rsidR="00343C7B" w:rsidRPr="00343C7B" w:rsidRDefault="00343C7B" w:rsidP="00343C7B">
      <w:pPr>
        <w:rPr>
          <w:b/>
          <w:bCs/>
        </w:rPr>
      </w:pPr>
      <w:r w:rsidRPr="00343C7B">
        <w:rPr>
          <w:b/>
          <w:bCs/>
        </w:rPr>
        <w:t>Inclusion subject matter experts (SME’s)</w:t>
      </w:r>
    </w:p>
    <w:p w14:paraId="7A2C3148" w14:textId="276F7045" w:rsidR="00343C7B" w:rsidRDefault="00343C7B" w:rsidP="00343C7B">
      <w:r>
        <w:t xml:space="preserve">Inclusion SME’s provide subject matter expertise, oversee the development and monitoring of the inclusion strategy and associated action plans, and </w:t>
      </w:r>
      <w:proofErr w:type="gramStart"/>
      <w:r>
        <w:t>ensure  local</w:t>
      </w:r>
      <w:proofErr w:type="gramEnd"/>
      <w:r>
        <w:t xml:space="preserve"> inclusion initiatives align with the principles outlined in this policy.</w:t>
      </w:r>
    </w:p>
    <w:p w14:paraId="0C6B9471" w14:textId="06A5B228" w:rsidR="00343C7B" w:rsidRPr="00343C7B" w:rsidRDefault="00343C7B" w:rsidP="00343C7B">
      <w:pPr>
        <w:rPr>
          <w:b/>
          <w:bCs/>
        </w:rPr>
      </w:pPr>
      <w:r w:rsidRPr="00343C7B">
        <w:rPr>
          <w:b/>
          <w:bCs/>
        </w:rPr>
        <w:t xml:space="preserve">Employee </w:t>
      </w:r>
      <w:r>
        <w:rPr>
          <w:b/>
          <w:bCs/>
        </w:rPr>
        <w:t>r</w:t>
      </w:r>
      <w:r w:rsidRPr="00343C7B">
        <w:rPr>
          <w:b/>
          <w:bCs/>
        </w:rPr>
        <w:t xml:space="preserve">esource </w:t>
      </w:r>
      <w:r>
        <w:rPr>
          <w:b/>
          <w:bCs/>
        </w:rPr>
        <w:t>g</w:t>
      </w:r>
      <w:r w:rsidRPr="00343C7B">
        <w:rPr>
          <w:b/>
          <w:bCs/>
        </w:rPr>
        <w:t>roups (ERG’s)</w:t>
      </w:r>
    </w:p>
    <w:p w14:paraId="162A5B24" w14:textId="7872E024" w:rsidR="00343C7B" w:rsidRDefault="00343C7B" w:rsidP="00343C7B">
      <w:proofErr w:type="gramStart"/>
      <w:r>
        <w:t>ERG’s</w:t>
      </w:r>
      <w:proofErr w:type="gramEnd"/>
      <w:r>
        <w:t xml:space="preserve"> operate within our Group’s ENABLE framework and are responsible for maintaining safe and inclusive environments where individuals from underrepresented or marginalised communities can share work-related experiences and concerns. These groups are expected to escalate relevant insights through appropriate channels, supporting the ongoing development of inclusive policies, practices, and organisational culture.</w:t>
      </w:r>
    </w:p>
    <w:p w14:paraId="71F72E5F" w14:textId="3D709AA0" w:rsidR="00343C7B" w:rsidRPr="00343C7B" w:rsidRDefault="00343C7B" w:rsidP="00343C7B">
      <w:pPr>
        <w:rPr>
          <w:b/>
          <w:bCs/>
        </w:rPr>
      </w:pPr>
      <w:r w:rsidRPr="00343C7B">
        <w:rPr>
          <w:b/>
          <w:bCs/>
        </w:rPr>
        <w:t xml:space="preserve">Leaders and </w:t>
      </w:r>
      <w:r>
        <w:rPr>
          <w:b/>
          <w:bCs/>
        </w:rPr>
        <w:t>l</w:t>
      </w:r>
      <w:r w:rsidRPr="00343C7B">
        <w:rPr>
          <w:b/>
          <w:bCs/>
        </w:rPr>
        <w:t xml:space="preserve">ine </w:t>
      </w:r>
      <w:r>
        <w:rPr>
          <w:b/>
          <w:bCs/>
        </w:rPr>
        <w:t>m</w:t>
      </w:r>
      <w:r w:rsidRPr="00343C7B">
        <w:rPr>
          <w:b/>
          <w:bCs/>
        </w:rPr>
        <w:t>anagers</w:t>
      </w:r>
    </w:p>
    <w:p w14:paraId="32BAD87E" w14:textId="77777777" w:rsidR="00343C7B" w:rsidRDefault="00343C7B" w:rsidP="00343C7B">
      <w:r>
        <w:t>Play a pivotal role in upholding this policy by modelling inclusive behaviours, making equitable decisions, and fostering inclusive team environments.</w:t>
      </w:r>
    </w:p>
    <w:p w14:paraId="5ED0ECE2" w14:textId="77777777" w:rsidR="00343C7B" w:rsidRDefault="00343C7B" w:rsidP="00343C7B">
      <w:pPr>
        <w:rPr>
          <w:b/>
          <w:bCs/>
        </w:rPr>
      </w:pPr>
    </w:p>
    <w:p w14:paraId="4510157E" w14:textId="546FC477" w:rsidR="00343C7B" w:rsidRPr="00343C7B" w:rsidRDefault="00343C7B" w:rsidP="00343C7B">
      <w:pPr>
        <w:rPr>
          <w:b/>
          <w:bCs/>
        </w:rPr>
      </w:pPr>
      <w:r w:rsidRPr="00343C7B">
        <w:rPr>
          <w:b/>
          <w:bCs/>
        </w:rPr>
        <w:t>Monitoring</w:t>
      </w:r>
    </w:p>
    <w:p w14:paraId="151553B3" w14:textId="77777777" w:rsidR="00343C7B" w:rsidRDefault="00343C7B" w:rsidP="00343C7B">
      <w:r>
        <w:t xml:space="preserve">The People function leaders will monitor and share the effectiveness of this policy through </w:t>
      </w:r>
    </w:p>
    <w:p w14:paraId="6E38B418" w14:textId="65B7D440" w:rsidR="00343C7B" w:rsidRDefault="00343C7B" w:rsidP="00343C7B">
      <w:pPr>
        <w:pStyle w:val="ListParagraph"/>
        <w:numPr>
          <w:ilvl w:val="1"/>
          <w:numId w:val="23"/>
        </w:numPr>
      </w:pPr>
      <w:r>
        <w:t xml:space="preserve">Hire-to-retire key performance indicators (KPI’s). </w:t>
      </w:r>
    </w:p>
    <w:p w14:paraId="1061F428" w14:textId="46624BF2" w:rsidR="00343C7B" w:rsidRDefault="00343C7B" w:rsidP="00343C7B">
      <w:pPr>
        <w:pStyle w:val="ListParagraph"/>
        <w:numPr>
          <w:ilvl w:val="1"/>
          <w:numId w:val="23"/>
        </w:numPr>
      </w:pPr>
      <w:r>
        <w:t>Qualitative data from People opinion surveys, focus groups, and feedback sessions especially in relation to levels of inclusion and differences in engagement levels between diverse groups.</w:t>
      </w:r>
    </w:p>
    <w:p w14:paraId="18E06AB1" w14:textId="30DD5D76" w:rsidR="00343C7B" w:rsidRDefault="00343C7B" w:rsidP="00343C7B">
      <w:pPr>
        <w:pStyle w:val="ListParagraph"/>
        <w:numPr>
          <w:ilvl w:val="1"/>
          <w:numId w:val="23"/>
        </w:numPr>
      </w:pPr>
      <w:r>
        <w:t>Progress updates on local action plans.</w:t>
      </w:r>
    </w:p>
    <w:p w14:paraId="7469B8B4" w14:textId="3287A80C" w:rsidR="00343C7B" w:rsidRPr="00343C7B" w:rsidRDefault="00343C7B" w:rsidP="00343C7B">
      <w:pPr>
        <w:rPr>
          <w:b/>
          <w:bCs/>
        </w:rPr>
      </w:pPr>
      <w:r w:rsidRPr="00343C7B">
        <w:rPr>
          <w:b/>
          <w:bCs/>
        </w:rPr>
        <w:t>Reviews</w:t>
      </w:r>
    </w:p>
    <w:p w14:paraId="16DFB845" w14:textId="580856AC" w:rsidR="00343C7B" w:rsidRDefault="00343C7B" w:rsidP="00343C7B">
      <w:r>
        <w:t xml:space="preserve">This policy is effective from the date of publication and will be reviewed annually to ensure its effectiveness. We’ll report on progress to our people, the leadership team, and external stakeholders. </w:t>
      </w:r>
    </w:p>
    <w:p w14:paraId="1FACF1AE" w14:textId="2B174CC7" w:rsidR="00343C7B" w:rsidRDefault="00343C7B" w:rsidP="00343C7B">
      <w:r>
        <w:t xml:space="preserve">Support and useful information </w:t>
      </w:r>
    </w:p>
    <w:p w14:paraId="48C0660B" w14:textId="69AF4B31" w:rsidR="00343C7B" w:rsidRDefault="00343C7B" w:rsidP="00343C7B">
      <w:r>
        <w:t xml:space="preserve">Anyone experiencing discrimination, bullying or harassment can get confidential support </w:t>
      </w:r>
      <w:r w:rsidR="001F79AB">
        <w:t>from:</w:t>
      </w:r>
    </w:p>
    <w:p w14:paraId="181798ED" w14:textId="3709ADCC" w:rsidR="00343C7B" w:rsidRDefault="001F79AB" w:rsidP="001F79AB">
      <w:pPr>
        <w:pStyle w:val="ListParagraph"/>
        <w:numPr>
          <w:ilvl w:val="1"/>
          <w:numId w:val="25"/>
        </w:numPr>
      </w:pPr>
      <w:r>
        <w:t>our</w:t>
      </w:r>
      <w:r w:rsidR="00343C7B">
        <w:t xml:space="preserve"> </w:t>
      </w:r>
      <w:r>
        <w:t>e</w:t>
      </w:r>
      <w:r w:rsidR="00343C7B">
        <w:t xml:space="preserve">mployee </w:t>
      </w:r>
      <w:r>
        <w:t>a</w:t>
      </w:r>
      <w:r w:rsidR="00343C7B">
        <w:t xml:space="preserve">ssistance </w:t>
      </w:r>
      <w:r>
        <w:t>p</w:t>
      </w:r>
      <w:r w:rsidR="00343C7B">
        <w:t xml:space="preserve">rogramme </w:t>
      </w:r>
    </w:p>
    <w:p w14:paraId="5C528946" w14:textId="65EC69DB" w:rsidR="00343C7B" w:rsidRDefault="00343C7B" w:rsidP="001F79AB">
      <w:pPr>
        <w:pStyle w:val="ListParagraph"/>
        <w:numPr>
          <w:ilvl w:val="1"/>
          <w:numId w:val="25"/>
        </w:numPr>
      </w:pPr>
      <w:r>
        <w:t xml:space="preserve">our Mental Health </w:t>
      </w:r>
      <w:r w:rsidR="001F79AB">
        <w:t>f</w:t>
      </w:r>
      <w:r>
        <w:t xml:space="preserve">irst </w:t>
      </w:r>
      <w:r w:rsidR="001F79AB">
        <w:t>a</w:t>
      </w:r>
      <w:r>
        <w:t>iders</w:t>
      </w:r>
    </w:p>
    <w:p w14:paraId="0CF28ECB" w14:textId="7CD6C354" w:rsidR="00343C7B" w:rsidRDefault="00343C7B" w:rsidP="00343C7B">
      <w:pPr>
        <w:pStyle w:val="ListParagraph"/>
        <w:numPr>
          <w:ilvl w:val="1"/>
          <w:numId w:val="25"/>
        </w:numPr>
      </w:pPr>
      <w:r>
        <w:t xml:space="preserve">our </w:t>
      </w:r>
      <w:r w:rsidR="001F79AB">
        <w:t>e</w:t>
      </w:r>
      <w:r>
        <w:t xml:space="preserve">mployee </w:t>
      </w:r>
      <w:r w:rsidR="001F79AB">
        <w:t>r</w:t>
      </w:r>
      <w:r>
        <w:t xml:space="preserve">esource </w:t>
      </w:r>
      <w:r w:rsidR="001F79AB">
        <w:t>g</w:t>
      </w:r>
      <w:r>
        <w:t xml:space="preserve">roups </w:t>
      </w:r>
    </w:p>
    <w:p w14:paraId="1F684F35" w14:textId="77777777" w:rsidR="00343C7B" w:rsidRDefault="00343C7B" w:rsidP="00343C7B"/>
    <w:p w14:paraId="2FA11EC4" w14:textId="46D0160D" w:rsidR="001925DA" w:rsidRPr="00107FCC" w:rsidRDefault="001925DA" w:rsidP="001925DA"/>
    <w:sectPr w:rsidR="001925DA" w:rsidRPr="00107FCC"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CC4C" w14:textId="77777777" w:rsidR="004557DE" w:rsidRDefault="004557DE" w:rsidP="00B40E15">
      <w:pPr>
        <w:spacing w:after="0" w:line="240" w:lineRule="auto"/>
      </w:pPr>
      <w:r>
        <w:separator/>
      </w:r>
    </w:p>
    <w:p w14:paraId="5E3B45BE" w14:textId="77777777" w:rsidR="004557DE" w:rsidRDefault="004557DE"/>
  </w:endnote>
  <w:endnote w:type="continuationSeparator" w:id="0">
    <w:p w14:paraId="54EDE5EC" w14:textId="77777777" w:rsidR="004557DE" w:rsidRDefault="004557DE" w:rsidP="00B40E15">
      <w:pPr>
        <w:spacing w:after="0" w:line="240" w:lineRule="auto"/>
      </w:pPr>
      <w:r>
        <w:continuationSeparator/>
      </w:r>
    </w:p>
    <w:p w14:paraId="459A6D85" w14:textId="77777777" w:rsidR="004557DE" w:rsidRDefault="0045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39F"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52D11B09" wp14:editId="3B06FDEA">
          <wp:extent cx="680400" cy="587408"/>
          <wp:effectExtent l="0" t="0" r="5715" b="3175"/>
          <wp:docPr id="957831277"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57831277"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F364"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A306" w14:textId="77777777" w:rsidR="004557DE" w:rsidRDefault="004557DE" w:rsidP="00B40E15">
      <w:pPr>
        <w:spacing w:after="0" w:line="240" w:lineRule="auto"/>
      </w:pPr>
      <w:r>
        <w:separator/>
      </w:r>
    </w:p>
    <w:p w14:paraId="5766CF4E" w14:textId="77777777" w:rsidR="004557DE" w:rsidRDefault="004557DE"/>
  </w:footnote>
  <w:footnote w:type="continuationSeparator" w:id="0">
    <w:p w14:paraId="11FEF6C0" w14:textId="77777777" w:rsidR="004557DE" w:rsidRDefault="004557DE" w:rsidP="00B40E15">
      <w:pPr>
        <w:spacing w:after="0" w:line="240" w:lineRule="auto"/>
      </w:pPr>
      <w:r>
        <w:continuationSeparator/>
      </w:r>
    </w:p>
    <w:p w14:paraId="7D4CEB3A" w14:textId="77777777" w:rsidR="004557DE" w:rsidRDefault="0045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051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0BB324A5" wp14:editId="72917F64">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B521A"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6C39" w14:textId="77777777" w:rsidR="009214C5" w:rsidRPr="00235A34" w:rsidRDefault="009214C5" w:rsidP="009214C5">
    <w:r>
      <w:rPr>
        <w:noProof/>
      </w:rPr>
      <w:drawing>
        <wp:anchor distT="0" distB="540385" distL="114300" distR="114300" simplePos="0" relativeHeight="251675648" behindDoc="1" locked="1" layoutInCell="1" allowOverlap="0" wp14:anchorId="1647C517" wp14:editId="5A60B6FB">
          <wp:simplePos x="427512" y="391886"/>
          <wp:positionH relativeFrom="column">
            <wp:align>left</wp:align>
          </wp:positionH>
          <wp:positionV relativeFrom="page">
            <wp:posOffset>608965</wp:posOffset>
          </wp:positionV>
          <wp:extent cx="1062000" cy="914400"/>
          <wp:effectExtent l="0" t="0" r="5080" b="0"/>
          <wp:wrapTopAndBottom/>
          <wp:docPr id="1938819248"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4B589ACB" wp14:editId="21372EE5">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D78B"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7CE8618"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A42"/>
    <w:multiLevelType w:val="hybridMultilevel"/>
    <w:tmpl w:val="59209E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90CA5"/>
    <w:multiLevelType w:val="hybridMultilevel"/>
    <w:tmpl w:val="AEF2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FB46F4"/>
    <w:multiLevelType w:val="hybridMultilevel"/>
    <w:tmpl w:val="8768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C69C9"/>
    <w:multiLevelType w:val="hybridMultilevel"/>
    <w:tmpl w:val="1AFA7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0064C"/>
    <w:multiLevelType w:val="hybridMultilevel"/>
    <w:tmpl w:val="396AFAB2"/>
    <w:lvl w:ilvl="0" w:tplc="FFFFFFFF">
      <w:start w:val="1"/>
      <w:numFmt w:val="bullet"/>
      <w:lvlText w:val=""/>
      <w:lvlJc w:val="left"/>
      <w:pPr>
        <w:ind w:left="1080" w:hanging="72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54748E"/>
    <w:multiLevelType w:val="hybridMultilevel"/>
    <w:tmpl w:val="682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B54AD"/>
    <w:multiLevelType w:val="hybridMultilevel"/>
    <w:tmpl w:val="6C9C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26122"/>
    <w:multiLevelType w:val="multilevel"/>
    <w:tmpl w:val="192E7F5A"/>
    <w:numStyleLink w:val="ListBullets"/>
  </w:abstractNum>
  <w:abstractNum w:abstractNumId="9" w15:restartNumberingAfterBreak="0">
    <w:nsid w:val="33836B7F"/>
    <w:multiLevelType w:val="hybridMultilevel"/>
    <w:tmpl w:val="5E346B06"/>
    <w:lvl w:ilvl="0" w:tplc="C60A072C">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91374"/>
    <w:multiLevelType w:val="hybridMultilevel"/>
    <w:tmpl w:val="096EFDF8"/>
    <w:lvl w:ilvl="0" w:tplc="08090001">
      <w:start w:val="1"/>
      <w:numFmt w:val="bullet"/>
      <w:lvlText w:val=""/>
      <w:lvlJc w:val="left"/>
      <w:pPr>
        <w:ind w:left="1080" w:hanging="720"/>
      </w:pPr>
      <w:rPr>
        <w:rFonts w:ascii="Symbol" w:hAnsi="Symbol" w:hint="default"/>
      </w:rPr>
    </w:lvl>
    <w:lvl w:ilvl="1" w:tplc="C8A0524E">
      <w:numFmt w:val="bullet"/>
      <w:lvlText w:val="-"/>
      <w:lvlJc w:val="left"/>
      <w:pPr>
        <w:ind w:left="1800" w:hanging="720"/>
      </w:pPr>
      <w:rPr>
        <w:rFonts w:ascii="Aptos Light" w:eastAsiaTheme="minorHAnsi" w:hAnsi="Aptos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BA62BE"/>
    <w:multiLevelType w:val="hybridMultilevel"/>
    <w:tmpl w:val="B94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E708C"/>
    <w:multiLevelType w:val="hybridMultilevel"/>
    <w:tmpl w:val="EB22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E15C5"/>
    <w:multiLevelType w:val="hybridMultilevel"/>
    <w:tmpl w:val="B080B48E"/>
    <w:lvl w:ilvl="0" w:tplc="C6880344">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D6805"/>
    <w:multiLevelType w:val="hybridMultilevel"/>
    <w:tmpl w:val="302445CC"/>
    <w:lvl w:ilvl="0" w:tplc="C60A072C">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596A7594"/>
    <w:multiLevelType w:val="hybridMultilevel"/>
    <w:tmpl w:val="EE74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4539F"/>
    <w:multiLevelType w:val="hybridMultilevel"/>
    <w:tmpl w:val="7A6C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70D202C6"/>
    <w:multiLevelType w:val="hybridMultilevel"/>
    <w:tmpl w:val="6D52741E"/>
    <w:lvl w:ilvl="0" w:tplc="C60A072C">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135BA"/>
    <w:multiLevelType w:val="multilevel"/>
    <w:tmpl w:val="3FAAE6D2"/>
    <w:numStyleLink w:val="ListNumbered"/>
  </w:abstractNum>
  <w:abstractNum w:abstractNumId="22" w15:restartNumberingAfterBreak="0">
    <w:nsid w:val="7A0F5FDE"/>
    <w:multiLevelType w:val="hybridMultilevel"/>
    <w:tmpl w:val="43B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F5347"/>
    <w:multiLevelType w:val="hybridMultilevel"/>
    <w:tmpl w:val="39FC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47282"/>
    <w:multiLevelType w:val="hybridMultilevel"/>
    <w:tmpl w:val="7B1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534105">
    <w:abstractNumId w:val="19"/>
  </w:num>
  <w:num w:numId="2" w16cid:durableId="350449825">
    <w:abstractNumId w:val="8"/>
  </w:num>
  <w:num w:numId="3" w16cid:durableId="634794402">
    <w:abstractNumId w:val="2"/>
  </w:num>
  <w:num w:numId="4" w16cid:durableId="106051843">
    <w:abstractNumId w:val="18"/>
  </w:num>
  <w:num w:numId="5" w16cid:durableId="1404134175">
    <w:abstractNumId w:val="21"/>
  </w:num>
  <w:num w:numId="6" w16cid:durableId="51080885">
    <w:abstractNumId w:val="15"/>
  </w:num>
  <w:num w:numId="7" w16cid:durableId="1941139423">
    <w:abstractNumId w:val="1"/>
  </w:num>
  <w:num w:numId="8" w16cid:durableId="1940677174">
    <w:abstractNumId w:val="24"/>
  </w:num>
  <w:num w:numId="9" w16cid:durableId="1970621732">
    <w:abstractNumId w:val="3"/>
  </w:num>
  <w:num w:numId="10" w16cid:durableId="553545147">
    <w:abstractNumId w:val="17"/>
  </w:num>
  <w:num w:numId="11" w16cid:durableId="834151992">
    <w:abstractNumId w:val="22"/>
  </w:num>
  <w:num w:numId="12" w16cid:durableId="847402443">
    <w:abstractNumId w:val="6"/>
  </w:num>
  <w:num w:numId="13" w16cid:durableId="1112480911">
    <w:abstractNumId w:val="16"/>
  </w:num>
  <w:num w:numId="14" w16cid:durableId="465002818">
    <w:abstractNumId w:val="13"/>
  </w:num>
  <w:num w:numId="15" w16cid:durableId="1135490926">
    <w:abstractNumId w:val="11"/>
  </w:num>
  <w:num w:numId="16" w16cid:durableId="190149855">
    <w:abstractNumId w:val="20"/>
  </w:num>
  <w:num w:numId="17" w16cid:durableId="757679380">
    <w:abstractNumId w:val="12"/>
  </w:num>
  <w:num w:numId="18" w16cid:durableId="966082774">
    <w:abstractNumId w:val="14"/>
  </w:num>
  <w:num w:numId="19" w16cid:durableId="1844514917">
    <w:abstractNumId w:val="9"/>
  </w:num>
  <w:num w:numId="20" w16cid:durableId="2044360154">
    <w:abstractNumId w:val="10"/>
  </w:num>
  <w:num w:numId="21" w16cid:durableId="9651962">
    <w:abstractNumId w:val="7"/>
  </w:num>
  <w:num w:numId="22" w16cid:durableId="283343970">
    <w:abstractNumId w:val="4"/>
  </w:num>
  <w:num w:numId="23" w16cid:durableId="1114060000">
    <w:abstractNumId w:val="0"/>
  </w:num>
  <w:num w:numId="24" w16cid:durableId="526019343">
    <w:abstractNumId w:val="23"/>
  </w:num>
  <w:num w:numId="25" w16cid:durableId="86556100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F0"/>
    <w:rsid w:val="000071B6"/>
    <w:rsid w:val="00015217"/>
    <w:rsid w:val="00025E98"/>
    <w:rsid w:val="00044511"/>
    <w:rsid w:val="000445A4"/>
    <w:rsid w:val="000521A3"/>
    <w:rsid w:val="00066332"/>
    <w:rsid w:val="00083880"/>
    <w:rsid w:val="000850A3"/>
    <w:rsid w:val="00092009"/>
    <w:rsid w:val="000921E2"/>
    <w:rsid w:val="00093423"/>
    <w:rsid w:val="000936F1"/>
    <w:rsid w:val="000966B7"/>
    <w:rsid w:val="000968EF"/>
    <w:rsid w:val="00096ECC"/>
    <w:rsid w:val="000A2CDB"/>
    <w:rsid w:val="000A39C9"/>
    <w:rsid w:val="000A6ED4"/>
    <w:rsid w:val="000B2374"/>
    <w:rsid w:val="000B248C"/>
    <w:rsid w:val="000B67CB"/>
    <w:rsid w:val="000C13EC"/>
    <w:rsid w:val="000C3ABD"/>
    <w:rsid w:val="000C7E16"/>
    <w:rsid w:val="000E2182"/>
    <w:rsid w:val="000E3677"/>
    <w:rsid w:val="000E3CDC"/>
    <w:rsid w:val="000E58AA"/>
    <w:rsid w:val="000F1814"/>
    <w:rsid w:val="000F764E"/>
    <w:rsid w:val="00103CC4"/>
    <w:rsid w:val="00106E6A"/>
    <w:rsid w:val="00107FCC"/>
    <w:rsid w:val="001115B9"/>
    <w:rsid w:val="0011638F"/>
    <w:rsid w:val="00121B2E"/>
    <w:rsid w:val="001235E9"/>
    <w:rsid w:val="00135089"/>
    <w:rsid w:val="00137686"/>
    <w:rsid w:val="001445D6"/>
    <w:rsid w:val="001450D8"/>
    <w:rsid w:val="00150E3A"/>
    <w:rsid w:val="001539D4"/>
    <w:rsid w:val="0015454E"/>
    <w:rsid w:val="0016613D"/>
    <w:rsid w:val="00167891"/>
    <w:rsid w:val="00171E76"/>
    <w:rsid w:val="00172B10"/>
    <w:rsid w:val="001745C5"/>
    <w:rsid w:val="001756D9"/>
    <w:rsid w:val="001852BA"/>
    <w:rsid w:val="00186369"/>
    <w:rsid w:val="001873D4"/>
    <w:rsid w:val="00187CA3"/>
    <w:rsid w:val="001925DA"/>
    <w:rsid w:val="001A053B"/>
    <w:rsid w:val="001C5F78"/>
    <w:rsid w:val="001C5FF0"/>
    <w:rsid w:val="001D155B"/>
    <w:rsid w:val="001D45C9"/>
    <w:rsid w:val="001F36DF"/>
    <w:rsid w:val="001F4D44"/>
    <w:rsid w:val="001F79AB"/>
    <w:rsid w:val="00212FA1"/>
    <w:rsid w:val="00217B8C"/>
    <w:rsid w:val="00223528"/>
    <w:rsid w:val="0023031A"/>
    <w:rsid w:val="00245103"/>
    <w:rsid w:val="0026113A"/>
    <w:rsid w:val="00261C74"/>
    <w:rsid w:val="00280B77"/>
    <w:rsid w:val="002912B5"/>
    <w:rsid w:val="002A7BF1"/>
    <w:rsid w:val="002B35E3"/>
    <w:rsid w:val="002B7235"/>
    <w:rsid w:val="002E094B"/>
    <w:rsid w:val="002E71EB"/>
    <w:rsid w:val="002E7A84"/>
    <w:rsid w:val="002F2028"/>
    <w:rsid w:val="0030309C"/>
    <w:rsid w:val="00312DC8"/>
    <w:rsid w:val="003223A9"/>
    <w:rsid w:val="00335130"/>
    <w:rsid w:val="00336082"/>
    <w:rsid w:val="003372E3"/>
    <w:rsid w:val="00341EA4"/>
    <w:rsid w:val="00343C7B"/>
    <w:rsid w:val="00346459"/>
    <w:rsid w:val="003514D6"/>
    <w:rsid w:val="003533CE"/>
    <w:rsid w:val="00355C8C"/>
    <w:rsid w:val="00370FC3"/>
    <w:rsid w:val="0037165C"/>
    <w:rsid w:val="00377A72"/>
    <w:rsid w:val="00383A5F"/>
    <w:rsid w:val="003845D2"/>
    <w:rsid w:val="0038621D"/>
    <w:rsid w:val="00386CB9"/>
    <w:rsid w:val="00392407"/>
    <w:rsid w:val="0039423E"/>
    <w:rsid w:val="003A1CFF"/>
    <w:rsid w:val="003A4FAB"/>
    <w:rsid w:val="003B093A"/>
    <w:rsid w:val="003C0649"/>
    <w:rsid w:val="003C718C"/>
    <w:rsid w:val="003D0804"/>
    <w:rsid w:val="003D428A"/>
    <w:rsid w:val="003D6F69"/>
    <w:rsid w:val="003D7F4E"/>
    <w:rsid w:val="003E1A39"/>
    <w:rsid w:val="003E6004"/>
    <w:rsid w:val="003F04BD"/>
    <w:rsid w:val="00402A9C"/>
    <w:rsid w:val="00415DAD"/>
    <w:rsid w:val="00422B45"/>
    <w:rsid w:val="00430453"/>
    <w:rsid w:val="0043085B"/>
    <w:rsid w:val="004458F2"/>
    <w:rsid w:val="00445A42"/>
    <w:rsid w:val="00446494"/>
    <w:rsid w:val="004517AA"/>
    <w:rsid w:val="004557DE"/>
    <w:rsid w:val="004616A9"/>
    <w:rsid w:val="00462769"/>
    <w:rsid w:val="004648AF"/>
    <w:rsid w:val="00475EE5"/>
    <w:rsid w:val="00476E84"/>
    <w:rsid w:val="00494760"/>
    <w:rsid w:val="00497A1E"/>
    <w:rsid w:val="004B53E8"/>
    <w:rsid w:val="004C13E2"/>
    <w:rsid w:val="004C4D88"/>
    <w:rsid w:val="004C6529"/>
    <w:rsid w:val="004D4B12"/>
    <w:rsid w:val="004E0BBE"/>
    <w:rsid w:val="004E3C66"/>
    <w:rsid w:val="004F0F47"/>
    <w:rsid w:val="004F2E75"/>
    <w:rsid w:val="00500A52"/>
    <w:rsid w:val="00517144"/>
    <w:rsid w:val="00520527"/>
    <w:rsid w:val="005253F3"/>
    <w:rsid w:val="00525FDC"/>
    <w:rsid w:val="00531045"/>
    <w:rsid w:val="00536C15"/>
    <w:rsid w:val="00547866"/>
    <w:rsid w:val="00551A59"/>
    <w:rsid w:val="00554DD0"/>
    <w:rsid w:val="00556086"/>
    <w:rsid w:val="005600EC"/>
    <w:rsid w:val="0056012D"/>
    <w:rsid w:val="005627F1"/>
    <w:rsid w:val="00562DFE"/>
    <w:rsid w:val="005658D9"/>
    <w:rsid w:val="00566EAE"/>
    <w:rsid w:val="00571FE0"/>
    <w:rsid w:val="00575DF9"/>
    <w:rsid w:val="005A0113"/>
    <w:rsid w:val="005A6ADF"/>
    <w:rsid w:val="005B0473"/>
    <w:rsid w:val="005B65DD"/>
    <w:rsid w:val="005B766A"/>
    <w:rsid w:val="005C3A71"/>
    <w:rsid w:val="005D080B"/>
    <w:rsid w:val="005E6AEB"/>
    <w:rsid w:val="005F2770"/>
    <w:rsid w:val="005F4128"/>
    <w:rsid w:val="005F4298"/>
    <w:rsid w:val="006003F7"/>
    <w:rsid w:val="00602C56"/>
    <w:rsid w:val="00607AD1"/>
    <w:rsid w:val="00611600"/>
    <w:rsid w:val="00611F81"/>
    <w:rsid w:val="0061287E"/>
    <w:rsid w:val="006134BE"/>
    <w:rsid w:val="00621A00"/>
    <w:rsid w:val="00630289"/>
    <w:rsid w:val="00633BA7"/>
    <w:rsid w:val="00635C7E"/>
    <w:rsid w:val="00640770"/>
    <w:rsid w:val="00642E23"/>
    <w:rsid w:val="00652ED8"/>
    <w:rsid w:val="006547B6"/>
    <w:rsid w:val="00667B7F"/>
    <w:rsid w:val="00672A28"/>
    <w:rsid w:val="0067437B"/>
    <w:rsid w:val="006749FA"/>
    <w:rsid w:val="006837B0"/>
    <w:rsid w:val="00686A77"/>
    <w:rsid w:val="00687DD5"/>
    <w:rsid w:val="00690FEB"/>
    <w:rsid w:val="006911F9"/>
    <w:rsid w:val="006A200C"/>
    <w:rsid w:val="006A442D"/>
    <w:rsid w:val="006B0CD8"/>
    <w:rsid w:val="006B552E"/>
    <w:rsid w:val="006B6541"/>
    <w:rsid w:val="006B6C4B"/>
    <w:rsid w:val="006C759F"/>
    <w:rsid w:val="006D1C29"/>
    <w:rsid w:val="006D4CA2"/>
    <w:rsid w:val="006D5E76"/>
    <w:rsid w:val="006D7E2E"/>
    <w:rsid w:val="006E1492"/>
    <w:rsid w:val="006E1FDC"/>
    <w:rsid w:val="006E2D06"/>
    <w:rsid w:val="006F02B9"/>
    <w:rsid w:val="006F57D7"/>
    <w:rsid w:val="006F74CB"/>
    <w:rsid w:val="006F78EC"/>
    <w:rsid w:val="0070661B"/>
    <w:rsid w:val="00706B19"/>
    <w:rsid w:val="007101A2"/>
    <w:rsid w:val="007166B1"/>
    <w:rsid w:val="0071708F"/>
    <w:rsid w:val="0071721E"/>
    <w:rsid w:val="0072445F"/>
    <w:rsid w:val="00727A0B"/>
    <w:rsid w:val="00731D8B"/>
    <w:rsid w:val="007325A1"/>
    <w:rsid w:val="007407AA"/>
    <w:rsid w:val="00746795"/>
    <w:rsid w:val="00754928"/>
    <w:rsid w:val="0075744B"/>
    <w:rsid w:val="007576BC"/>
    <w:rsid w:val="007813C7"/>
    <w:rsid w:val="00785AA0"/>
    <w:rsid w:val="007870BC"/>
    <w:rsid w:val="00794DA8"/>
    <w:rsid w:val="00795AE6"/>
    <w:rsid w:val="007A1205"/>
    <w:rsid w:val="007A21C2"/>
    <w:rsid w:val="007A50C3"/>
    <w:rsid w:val="007A6EE9"/>
    <w:rsid w:val="007B662E"/>
    <w:rsid w:val="007C24BA"/>
    <w:rsid w:val="007C3655"/>
    <w:rsid w:val="007E12E9"/>
    <w:rsid w:val="007F17D9"/>
    <w:rsid w:val="007F3FB0"/>
    <w:rsid w:val="00801612"/>
    <w:rsid w:val="00815FFA"/>
    <w:rsid w:val="0081622D"/>
    <w:rsid w:val="00817897"/>
    <w:rsid w:val="008260A5"/>
    <w:rsid w:val="00836CAE"/>
    <w:rsid w:val="0084111A"/>
    <w:rsid w:val="00844996"/>
    <w:rsid w:val="0084738A"/>
    <w:rsid w:val="00847907"/>
    <w:rsid w:val="00862B10"/>
    <w:rsid w:val="00867FA2"/>
    <w:rsid w:val="00873F4D"/>
    <w:rsid w:val="00880F54"/>
    <w:rsid w:val="008824F6"/>
    <w:rsid w:val="008945A7"/>
    <w:rsid w:val="00896EA4"/>
    <w:rsid w:val="008A081F"/>
    <w:rsid w:val="008A10F5"/>
    <w:rsid w:val="008A18CA"/>
    <w:rsid w:val="008A67CA"/>
    <w:rsid w:val="008B10AA"/>
    <w:rsid w:val="008B2032"/>
    <w:rsid w:val="008B28D8"/>
    <w:rsid w:val="008B4733"/>
    <w:rsid w:val="008B654C"/>
    <w:rsid w:val="008C42ED"/>
    <w:rsid w:val="008D30B1"/>
    <w:rsid w:val="008D63F0"/>
    <w:rsid w:val="008D66BF"/>
    <w:rsid w:val="008D7C3F"/>
    <w:rsid w:val="008E3A33"/>
    <w:rsid w:val="008E4E0F"/>
    <w:rsid w:val="008E7EB7"/>
    <w:rsid w:val="008F2717"/>
    <w:rsid w:val="009008FD"/>
    <w:rsid w:val="00900E26"/>
    <w:rsid w:val="00900F41"/>
    <w:rsid w:val="00907B89"/>
    <w:rsid w:val="00915D61"/>
    <w:rsid w:val="009214C5"/>
    <w:rsid w:val="00924416"/>
    <w:rsid w:val="00946EEB"/>
    <w:rsid w:val="00951517"/>
    <w:rsid w:val="00951E79"/>
    <w:rsid w:val="00952BC3"/>
    <w:rsid w:val="0095374A"/>
    <w:rsid w:val="009730FC"/>
    <w:rsid w:val="0098240C"/>
    <w:rsid w:val="00985BF5"/>
    <w:rsid w:val="009902B3"/>
    <w:rsid w:val="009A102B"/>
    <w:rsid w:val="009A2A01"/>
    <w:rsid w:val="009A5EBE"/>
    <w:rsid w:val="009C4265"/>
    <w:rsid w:val="009C7452"/>
    <w:rsid w:val="009D1439"/>
    <w:rsid w:val="009D58BB"/>
    <w:rsid w:val="009E02D9"/>
    <w:rsid w:val="009E232D"/>
    <w:rsid w:val="009F4525"/>
    <w:rsid w:val="00A03939"/>
    <w:rsid w:val="00A06C9B"/>
    <w:rsid w:val="00A1065A"/>
    <w:rsid w:val="00A21C00"/>
    <w:rsid w:val="00A229C1"/>
    <w:rsid w:val="00A42938"/>
    <w:rsid w:val="00A51C7A"/>
    <w:rsid w:val="00A7639B"/>
    <w:rsid w:val="00A8049B"/>
    <w:rsid w:val="00A90E87"/>
    <w:rsid w:val="00A94C63"/>
    <w:rsid w:val="00AA4B98"/>
    <w:rsid w:val="00AA4BD7"/>
    <w:rsid w:val="00AB0FD4"/>
    <w:rsid w:val="00AC6409"/>
    <w:rsid w:val="00AD2E96"/>
    <w:rsid w:val="00AD421A"/>
    <w:rsid w:val="00AE1C55"/>
    <w:rsid w:val="00AF5C0F"/>
    <w:rsid w:val="00B00743"/>
    <w:rsid w:val="00B02AC1"/>
    <w:rsid w:val="00B157AC"/>
    <w:rsid w:val="00B15CEC"/>
    <w:rsid w:val="00B173C2"/>
    <w:rsid w:val="00B20B03"/>
    <w:rsid w:val="00B21522"/>
    <w:rsid w:val="00B40E15"/>
    <w:rsid w:val="00B43223"/>
    <w:rsid w:val="00B50BC8"/>
    <w:rsid w:val="00B62DF4"/>
    <w:rsid w:val="00B65DAD"/>
    <w:rsid w:val="00B66791"/>
    <w:rsid w:val="00B77E05"/>
    <w:rsid w:val="00B77F0C"/>
    <w:rsid w:val="00B825B9"/>
    <w:rsid w:val="00B839F2"/>
    <w:rsid w:val="00B85859"/>
    <w:rsid w:val="00B85BF0"/>
    <w:rsid w:val="00BB521A"/>
    <w:rsid w:val="00BB6458"/>
    <w:rsid w:val="00BC31A2"/>
    <w:rsid w:val="00BD6CD1"/>
    <w:rsid w:val="00BD7938"/>
    <w:rsid w:val="00BE0DEF"/>
    <w:rsid w:val="00BE4069"/>
    <w:rsid w:val="00BF15A5"/>
    <w:rsid w:val="00BF3174"/>
    <w:rsid w:val="00C05D4C"/>
    <w:rsid w:val="00C06840"/>
    <w:rsid w:val="00C15B94"/>
    <w:rsid w:val="00C302BC"/>
    <w:rsid w:val="00C33A9C"/>
    <w:rsid w:val="00C3779C"/>
    <w:rsid w:val="00C4665F"/>
    <w:rsid w:val="00C51905"/>
    <w:rsid w:val="00C562FE"/>
    <w:rsid w:val="00C72D18"/>
    <w:rsid w:val="00C76A6B"/>
    <w:rsid w:val="00C91300"/>
    <w:rsid w:val="00C9247B"/>
    <w:rsid w:val="00C94F0D"/>
    <w:rsid w:val="00CB61E6"/>
    <w:rsid w:val="00CB6875"/>
    <w:rsid w:val="00CB6BED"/>
    <w:rsid w:val="00CC3036"/>
    <w:rsid w:val="00CC43A9"/>
    <w:rsid w:val="00CC4D77"/>
    <w:rsid w:val="00CD520A"/>
    <w:rsid w:val="00CD5343"/>
    <w:rsid w:val="00CE46ED"/>
    <w:rsid w:val="00CE6AEE"/>
    <w:rsid w:val="00CF0995"/>
    <w:rsid w:val="00CF179B"/>
    <w:rsid w:val="00D1100B"/>
    <w:rsid w:val="00D168C8"/>
    <w:rsid w:val="00D16EC1"/>
    <w:rsid w:val="00D20536"/>
    <w:rsid w:val="00D3104A"/>
    <w:rsid w:val="00D31AD2"/>
    <w:rsid w:val="00D334E7"/>
    <w:rsid w:val="00D349C4"/>
    <w:rsid w:val="00D448B4"/>
    <w:rsid w:val="00D46591"/>
    <w:rsid w:val="00D50375"/>
    <w:rsid w:val="00D5258A"/>
    <w:rsid w:val="00D55909"/>
    <w:rsid w:val="00D6194A"/>
    <w:rsid w:val="00D62FD5"/>
    <w:rsid w:val="00D63529"/>
    <w:rsid w:val="00D80489"/>
    <w:rsid w:val="00D832C5"/>
    <w:rsid w:val="00D9046A"/>
    <w:rsid w:val="00D92F10"/>
    <w:rsid w:val="00DA2C5A"/>
    <w:rsid w:val="00DA443B"/>
    <w:rsid w:val="00DA7A7A"/>
    <w:rsid w:val="00DB2F9C"/>
    <w:rsid w:val="00DB3AB9"/>
    <w:rsid w:val="00DB6D1C"/>
    <w:rsid w:val="00DC00F3"/>
    <w:rsid w:val="00DC3454"/>
    <w:rsid w:val="00DC4F66"/>
    <w:rsid w:val="00DC622C"/>
    <w:rsid w:val="00DD2B27"/>
    <w:rsid w:val="00DF51C9"/>
    <w:rsid w:val="00E04DED"/>
    <w:rsid w:val="00E06CE6"/>
    <w:rsid w:val="00E1664A"/>
    <w:rsid w:val="00E1771F"/>
    <w:rsid w:val="00E26826"/>
    <w:rsid w:val="00E32278"/>
    <w:rsid w:val="00E32C72"/>
    <w:rsid w:val="00E426EC"/>
    <w:rsid w:val="00E5224F"/>
    <w:rsid w:val="00E54AE2"/>
    <w:rsid w:val="00E67793"/>
    <w:rsid w:val="00E67D10"/>
    <w:rsid w:val="00E75986"/>
    <w:rsid w:val="00E76241"/>
    <w:rsid w:val="00E80CEB"/>
    <w:rsid w:val="00E819C8"/>
    <w:rsid w:val="00E8454C"/>
    <w:rsid w:val="00E851BB"/>
    <w:rsid w:val="00E93294"/>
    <w:rsid w:val="00E94DFE"/>
    <w:rsid w:val="00EA56CE"/>
    <w:rsid w:val="00EB7996"/>
    <w:rsid w:val="00EC4C0A"/>
    <w:rsid w:val="00EC56FF"/>
    <w:rsid w:val="00ED470E"/>
    <w:rsid w:val="00ED51DA"/>
    <w:rsid w:val="00ED6791"/>
    <w:rsid w:val="00EE34F9"/>
    <w:rsid w:val="00EE4D48"/>
    <w:rsid w:val="00EE775E"/>
    <w:rsid w:val="00EF0F22"/>
    <w:rsid w:val="00EF56ED"/>
    <w:rsid w:val="00F00009"/>
    <w:rsid w:val="00F06B95"/>
    <w:rsid w:val="00F07EF7"/>
    <w:rsid w:val="00F123EC"/>
    <w:rsid w:val="00F12BD7"/>
    <w:rsid w:val="00F14703"/>
    <w:rsid w:val="00F148EF"/>
    <w:rsid w:val="00F21174"/>
    <w:rsid w:val="00F25F65"/>
    <w:rsid w:val="00F355A5"/>
    <w:rsid w:val="00F44C42"/>
    <w:rsid w:val="00F47571"/>
    <w:rsid w:val="00F5023F"/>
    <w:rsid w:val="00F52AB2"/>
    <w:rsid w:val="00F55648"/>
    <w:rsid w:val="00F5640A"/>
    <w:rsid w:val="00F615A8"/>
    <w:rsid w:val="00F66F95"/>
    <w:rsid w:val="00F71243"/>
    <w:rsid w:val="00F86FC6"/>
    <w:rsid w:val="00F921C2"/>
    <w:rsid w:val="00F97B2B"/>
    <w:rsid w:val="00F97F26"/>
    <w:rsid w:val="00FA30BE"/>
    <w:rsid w:val="00FA51D3"/>
    <w:rsid w:val="00FA7BF0"/>
    <w:rsid w:val="00FB0B43"/>
    <w:rsid w:val="00FB3290"/>
    <w:rsid w:val="00FC20E9"/>
    <w:rsid w:val="00FD5A45"/>
    <w:rsid w:val="00FD6D9B"/>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AF455"/>
  <w14:defaultImageDpi w14:val="32767"/>
  <w15:chartTrackingRefBased/>
  <w15:docId w15:val="{F700FA4C-8143-49D7-B04C-F5B1FA5F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836CA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2"/>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2"/>
      </w:numPr>
      <w:spacing w:after="120"/>
      <w:ind w:left="1418"/>
    </w:pPr>
  </w:style>
  <w:style w:type="numbering" w:customStyle="1" w:styleId="ListBullets">
    <w:name w:val="List Bullets"/>
    <w:uiPriority w:val="99"/>
    <w:rsid w:val="007101A2"/>
    <w:pPr>
      <w:numPr>
        <w:numId w:val="1"/>
      </w:numPr>
    </w:pPr>
  </w:style>
  <w:style w:type="paragraph" w:styleId="ListNumber">
    <w:name w:val="List Number"/>
    <w:basedOn w:val="Normal"/>
    <w:uiPriority w:val="2"/>
    <w:qFormat/>
    <w:rsid w:val="00355C8C"/>
    <w:pPr>
      <w:numPr>
        <w:numId w:val="5"/>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3"/>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4"/>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6"/>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table" w:customStyle="1" w:styleId="TableGrid1">
    <w:name w:val="Table Grid1"/>
    <w:basedOn w:val="TableNormal"/>
    <w:next w:val="TableGrid"/>
    <w:uiPriority w:val="39"/>
    <w:rsid w:val="00B85BF0"/>
    <w:pPr>
      <w:spacing w:after="0" w:line="240" w:lineRule="auto"/>
    </w:pPr>
    <w:rPr>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72">
      <w:bodyDiv w:val="1"/>
      <w:marLeft w:val="0"/>
      <w:marRight w:val="0"/>
      <w:marTop w:val="0"/>
      <w:marBottom w:val="0"/>
      <w:divBdr>
        <w:top w:val="none" w:sz="0" w:space="0" w:color="auto"/>
        <w:left w:val="none" w:sz="0" w:space="0" w:color="auto"/>
        <w:bottom w:val="none" w:sz="0" w:space="0" w:color="auto"/>
        <w:right w:val="none" w:sz="0" w:space="0" w:color="auto"/>
      </w:divBdr>
    </w:div>
    <w:div w:id="608239841">
      <w:bodyDiv w:val="1"/>
      <w:marLeft w:val="0"/>
      <w:marRight w:val="0"/>
      <w:marTop w:val="0"/>
      <w:marBottom w:val="0"/>
      <w:divBdr>
        <w:top w:val="none" w:sz="0" w:space="0" w:color="auto"/>
        <w:left w:val="none" w:sz="0" w:space="0" w:color="auto"/>
        <w:bottom w:val="none" w:sz="0" w:space="0" w:color="auto"/>
        <w:right w:val="none" w:sz="0" w:space="0" w:color="auto"/>
      </w:divBdr>
    </w:div>
    <w:div w:id="623313842">
      <w:bodyDiv w:val="1"/>
      <w:marLeft w:val="0"/>
      <w:marRight w:val="0"/>
      <w:marTop w:val="0"/>
      <w:marBottom w:val="0"/>
      <w:divBdr>
        <w:top w:val="none" w:sz="0" w:space="0" w:color="auto"/>
        <w:left w:val="none" w:sz="0" w:space="0" w:color="auto"/>
        <w:bottom w:val="none" w:sz="0" w:space="0" w:color="auto"/>
        <w:right w:val="none" w:sz="0" w:space="0" w:color="auto"/>
      </w:divBdr>
    </w:div>
    <w:div w:id="708841922">
      <w:bodyDiv w:val="1"/>
      <w:marLeft w:val="0"/>
      <w:marRight w:val="0"/>
      <w:marTop w:val="0"/>
      <w:marBottom w:val="0"/>
      <w:divBdr>
        <w:top w:val="none" w:sz="0" w:space="0" w:color="auto"/>
        <w:left w:val="none" w:sz="0" w:space="0" w:color="auto"/>
        <w:bottom w:val="none" w:sz="0" w:space="0" w:color="auto"/>
        <w:right w:val="none" w:sz="0" w:space="0" w:color="auto"/>
      </w:divBdr>
    </w:div>
    <w:div w:id="759523038">
      <w:bodyDiv w:val="1"/>
      <w:marLeft w:val="0"/>
      <w:marRight w:val="0"/>
      <w:marTop w:val="0"/>
      <w:marBottom w:val="0"/>
      <w:divBdr>
        <w:top w:val="none" w:sz="0" w:space="0" w:color="auto"/>
        <w:left w:val="none" w:sz="0" w:space="0" w:color="auto"/>
        <w:bottom w:val="none" w:sz="0" w:space="0" w:color="auto"/>
        <w:right w:val="none" w:sz="0" w:space="0" w:color="auto"/>
      </w:divBdr>
      <w:divsChild>
        <w:div w:id="1249849228">
          <w:marLeft w:val="-300"/>
          <w:marRight w:val="-300"/>
          <w:marTop w:val="0"/>
          <w:marBottom w:val="0"/>
          <w:divBdr>
            <w:top w:val="none" w:sz="0" w:space="0" w:color="auto"/>
            <w:left w:val="none" w:sz="0" w:space="0" w:color="auto"/>
            <w:bottom w:val="none" w:sz="0" w:space="0" w:color="auto"/>
            <w:right w:val="none" w:sz="0" w:space="0" w:color="auto"/>
          </w:divBdr>
        </w:div>
      </w:divsChild>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086225829">
      <w:bodyDiv w:val="1"/>
      <w:marLeft w:val="0"/>
      <w:marRight w:val="0"/>
      <w:marTop w:val="0"/>
      <w:marBottom w:val="0"/>
      <w:divBdr>
        <w:top w:val="none" w:sz="0" w:space="0" w:color="auto"/>
        <w:left w:val="none" w:sz="0" w:space="0" w:color="auto"/>
        <w:bottom w:val="none" w:sz="0" w:space="0" w:color="auto"/>
        <w:right w:val="none" w:sz="0" w:space="0" w:color="auto"/>
      </w:divBdr>
    </w:div>
    <w:div w:id="1187452378">
      <w:bodyDiv w:val="1"/>
      <w:marLeft w:val="0"/>
      <w:marRight w:val="0"/>
      <w:marTop w:val="0"/>
      <w:marBottom w:val="0"/>
      <w:divBdr>
        <w:top w:val="none" w:sz="0" w:space="0" w:color="auto"/>
        <w:left w:val="none" w:sz="0" w:space="0" w:color="auto"/>
        <w:bottom w:val="none" w:sz="0" w:space="0" w:color="auto"/>
        <w:right w:val="none" w:sz="0" w:space="0" w:color="auto"/>
      </w:divBdr>
    </w:div>
    <w:div w:id="1366171210">
      <w:bodyDiv w:val="1"/>
      <w:marLeft w:val="0"/>
      <w:marRight w:val="0"/>
      <w:marTop w:val="0"/>
      <w:marBottom w:val="0"/>
      <w:divBdr>
        <w:top w:val="none" w:sz="0" w:space="0" w:color="auto"/>
        <w:left w:val="none" w:sz="0" w:space="0" w:color="auto"/>
        <w:bottom w:val="none" w:sz="0" w:space="0" w:color="auto"/>
        <w:right w:val="none" w:sz="0" w:space="0" w:color="auto"/>
      </w:divBdr>
    </w:div>
    <w:div w:id="16867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White\M%20Group%20Services\Group%20Assurance%20-%20General\Group_Normal.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45ba93a57dff849cb389cbc18ba45d29">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6c32d1ae4efb5f384d05d41bf556293a"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c0d76-0945-49d4-b602-1f24bc893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2dc153-1b29-4a2c-9385-c15fee11c381}"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C_Map_Root xmlns="http://MGroup/CC_Mapping_Part">
  <Date/>
  <Sender_Name/>
  <Recipient_Name/>
</CC_Map_Root>
</file>

<file path=customXml/itemProps1.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2.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3.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DEB86CED-C6D1-4D57-8D90-2B0F0443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2B31B-A80F-45D3-BF22-D6B58D14BA73}">
  <ds:schemaRefs>
    <ds:schemaRef ds:uri="http://MGroup/CC_Mapping_Part"/>
  </ds:schemaRefs>
</ds:datastoreItem>
</file>

<file path=docProps/app.xml><?xml version="1.0" encoding="utf-8"?>
<Properties xmlns="http://schemas.openxmlformats.org/officeDocument/2006/extended-properties" xmlns:vt="http://schemas.openxmlformats.org/officeDocument/2006/docPropsVTypes">
  <Template>Group_Normal</Template>
  <TotalTime>2</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Victoria</dc:creator>
  <cp:keywords/>
  <dc:description/>
  <cp:lastModifiedBy>Edgar, Lucy</cp:lastModifiedBy>
  <cp:revision>4</cp:revision>
  <dcterms:created xsi:type="dcterms:W3CDTF">2025-08-15T08:03:00Z</dcterms:created>
  <dcterms:modified xsi:type="dcterms:W3CDTF">2025-08-19T18:17:00Z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0x0101002FF5411602BE394FAB134E021BB412D6</vt:lpwstr>
  </property>
  <property fmtid="{D5CDD505-2E9C-101B-9397-08002B2CF9AE}" pid="11" name="MediaServiceImageTags">
    <vt:lpwstr/>
  </property>
</Properties>
</file>