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4033" w14:textId="631C0E08" w:rsidR="00664D38" w:rsidRPr="004329EF" w:rsidRDefault="00451CB6" w:rsidP="004329EF">
      <w:pPr>
        <w:jc w:val="center"/>
        <w:rPr>
          <w:rFonts w:asciiTheme="majorHAnsi" w:eastAsiaTheme="majorEastAsia" w:hAnsiTheme="majorHAnsi" w:cstheme="majorBidi"/>
          <w:b/>
          <w:bCs/>
          <w:kern w:val="28"/>
          <w:sz w:val="60"/>
          <w:szCs w:val="56"/>
        </w:rPr>
      </w:pPr>
      <w:r w:rsidRPr="00E23BD6">
        <w:rPr>
          <w:rFonts w:asciiTheme="majorHAnsi" w:eastAsiaTheme="majorEastAsia" w:hAnsiTheme="majorHAnsi" w:cstheme="majorBidi"/>
          <w:b/>
          <w:bCs/>
          <w:kern w:val="28"/>
          <w:sz w:val="60"/>
          <w:szCs w:val="56"/>
        </w:rPr>
        <w:t xml:space="preserve">Whistleblowing </w:t>
      </w:r>
      <w:r w:rsidR="004329EF">
        <w:rPr>
          <w:rFonts w:asciiTheme="majorHAnsi" w:eastAsiaTheme="majorEastAsia" w:hAnsiTheme="majorHAnsi" w:cstheme="majorBidi"/>
          <w:b/>
          <w:bCs/>
          <w:kern w:val="28"/>
          <w:sz w:val="60"/>
          <w:szCs w:val="56"/>
        </w:rPr>
        <w:t>p</w:t>
      </w:r>
      <w:r w:rsidRPr="00E23BD6">
        <w:rPr>
          <w:rFonts w:asciiTheme="majorHAnsi" w:eastAsiaTheme="majorEastAsia" w:hAnsiTheme="majorHAnsi" w:cstheme="majorBidi"/>
          <w:b/>
          <w:bCs/>
          <w:kern w:val="28"/>
          <w:sz w:val="60"/>
          <w:szCs w:val="56"/>
        </w:rPr>
        <w:t>olicy</w:t>
      </w:r>
    </w:p>
    <w:p w14:paraId="553A344C" w14:textId="77777777" w:rsidR="00FE4071" w:rsidRPr="00FE4071" w:rsidRDefault="00FE4071" w:rsidP="00451CB6">
      <w:pPr>
        <w:pStyle w:val="BodyText"/>
        <w:spacing w:before="61"/>
        <w:ind w:left="567" w:right="156"/>
        <w:jc w:val="both"/>
        <w:rPr>
          <w:rFonts w:asciiTheme="minorHAnsi" w:eastAsiaTheme="minorHAnsi" w:hAnsiTheme="minorHAnsi" w:cstheme="minorBidi"/>
          <w:b/>
          <w:bCs/>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Policy statement</w:t>
      </w:r>
    </w:p>
    <w:p w14:paraId="124B771E" w14:textId="32D9580F" w:rsidR="00451CB6" w:rsidRPr="00FE4071" w:rsidRDefault="00451CB6" w:rsidP="00451CB6">
      <w:pPr>
        <w:pStyle w:val="BodyText"/>
        <w:spacing w:before="61"/>
        <w:ind w:left="567" w:right="156"/>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Trust and integrity are vital to </w:t>
      </w:r>
      <w:r w:rsidR="00FE4071" w:rsidRPr="00FE4071">
        <w:rPr>
          <w:rFonts w:asciiTheme="minorHAnsi" w:eastAsiaTheme="minorHAnsi" w:hAnsiTheme="minorHAnsi" w:cstheme="minorBidi"/>
          <w:color w:val="00293F" w:themeColor="text1"/>
          <w:kern w:val="2"/>
          <w:sz w:val="20"/>
          <w:szCs w:val="20"/>
          <w14:ligatures w14:val="standardContextual"/>
        </w:rPr>
        <w:t>us. We</w:t>
      </w:r>
      <w:r w:rsidRPr="00FE4071">
        <w:rPr>
          <w:rFonts w:asciiTheme="minorHAnsi" w:eastAsiaTheme="minorHAnsi" w:hAnsiTheme="minorHAnsi" w:cstheme="minorBidi"/>
          <w:color w:val="00293F" w:themeColor="text1"/>
          <w:kern w:val="2"/>
          <w:sz w:val="20"/>
          <w:szCs w:val="20"/>
          <w14:ligatures w14:val="standardContextual"/>
        </w:rPr>
        <w:t xml:space="preserve"> therefore encourage</w:t>
      </w:r>
      <w:r w:rsidR="00FE4071" w:rsidRPr="00FE4071">
        <w:rPr>
          <w:rFonts w:asciiTheme="minorHAnsi" w:eastAsiaTheme="minorHAnsi" w:hAnsiTheme="minorHAnsi" w:cstheme="minorBidi"/>
          <w:color w:val="00293F" w:themeColor="text1"/>
          <w:kern w:val="2"/>
          <w:sz w:val="20"/>
          <w:szCs w:val="20"/>
          <w14:ligatures w14:val="standardContextual"/>
        </w:rPr>
        <w:t xml:space="preserve"> our</w:t>
      </w:r>
      <w:r w:rsidRPr="00FE4071">
        <w:rPr>
          <w:rFonts w:asciiTheme="minorHAnsi" w:eastAsiaTheme="minorHAnsi" w:hAnsiTheme="minorHAnsi" w:cstheme="minorBidi"/>
          <w:color w:val="00293F" w:themeColor="text1"/>
          <w:kern w:val="2"/>
          <w:sz w:val="20"/>
          <w:szCs w:val="20"/>
          <w14:ligatures w14:val="standardContextual"/>
        </w:rPr>
        <w:t xml:space="preserve"> people to raise any concerns they have about wrongdoing, misconduct, or malpractice, that affects others without fear of reprisal. This </w:t>
      </w:r>
      <w:r w:rsidR="00FE4071" w:rsidRPr="00FE4071">
        <w:rPr>
          <w:rFonts w:asciiTheme="minorHAnsi" w:eastAsiaTheme="minorHAnsi" w:hAnsiTheme="minorHAnsi" w:cstheme="minorBidi"/>
          <w:color w:val="00293F" w:themeColor="text1"/>
          <w:kern w:val="2"/>
          <w:sz w:val="20"/>
          <w:szCs w:val="20"/>
          <w14:ligatures w14:val="standardContextual"/>
        </w:rPr>
        <w:t>p</w:t>
      </w:r>
      <w:r w:rsidRPr="00FE4071">
        <w:rPr>
          <w:rFonts w:asciiTheme="minorHAnsi" w:eastAsiaTheme="minorHAnsi" w:hAnsiTheme="minorHAnsi" w:cstheme="minorBidi"/>
          <w:color w:val="00293F" w:themeColor="text1"/>
          <w:kern w:val="2"/>
          <w:sz w:val="20"/>
          <w:szCs w:val="20"/>
          <w14:ligatures w14:val="standardContextual"/>
        </w:rPr>
        <w:t xml:space="preserve">olicy will define what constitutes ‘whistleblowing’ and detail how any concerns should be raised. </w:t>
      </w:r>
    </w:p>
    <w:p w14:paraId="742582A7" w14:textId="77777777" w:rsidR="00451CB6" w:rsidRPr="00FE4071" w:rsidRDefault="00451CB6" w:rsidP="00451CB6">
      <w:pPr>
        <w:pStyle w:val="BodyText"/>
        <w:spacing w:before="61"/>
        <w:ind w:left="567" w:right="156"/>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Any whistleblowing concern raised in good faith will be investigated thoroughly, promptly, and confidentially and you will not be victimised for raising your concerns. </w:t>
      </w:r>
    </w:p>
    <w:p w14:paraId="7621FA65" w14:textId="29B110FA" w:rsidR="00674B3A" w:rsidRPr="00FE4071" w:rsidRDefault="00451CB6" w:rsidP="009364D6">
      <w:pPr>
        <w:pStyle w:val="ListParagraph"/>
        <w:widowControl w:val="0"/>
        <w:tabs>
          <w:tab w:val="left" w:pos="829"/>
        </w:tabs>
        <w:autoSpaceDE w:val="0"/>
        <w:autoSpaceDN w:val="0"/>
        <w:spacing w:before="146" w:line="232" w:lineRule="auto"/>
        <w:ind w:left="567" w:right="159"/>
        <w:contextualSpacing w:val="0"/>
        <w:jc w:val="both"/>
      </w:pPr>
      <w:r w:rsidRPr="00FE4071">
        <w:t xml:space="preserve">Any instruction to ignore or cover up wrongdoing is itself a disciplinary offence. If you are told not to raise or pursue any concern, even by a person in authority such as a manager or departmental head, you should not agree to remain silent. You should report the matter in line with the procedure documented within this </w:t>
      </w:r>
      <w:r w:rsidR="00FE4071">
        <w:t>p</w:t>
      </w:r>
      <w:r w:rsidRPr="00FE4071">
        <w:t xml:space="preserve">olicy. </w:t>
      </w:r>
    </w:p>
    <w:p w14:paraId="7C87D462" w14:textId="1FFE4A7A" w:rsidR="00674B3A" w:rsidRPr="00FE4071" w:rsidRDefault="00FE4071" w:rsidP="00664D38">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 xml:space="preserve">Who is this for? </w:t>
      </w:r>
    </w:p>
    <w:p w14:paraId="5B4712FF" w14:textId="41855E36" w:rsidR="00674B3A" w:rsidRPr="00FE4071" w:rsidRDefault="00674B3A" w:rsidP="00674B3A">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This </w:t>
      </w:r>
      <w:r w:rsidR="00FE4071">
        <w:rPr>
          <w:rFonts w:asciiTheme="minorHAnsi" w:eastAsiaTheme="minorHAnsi" w:hAnsiTheme="minorHAnsi" w:cstheme="minorBidi"/>
          <w:color w:val="00293F" w:themeColor="text1"/>
          <w:kern w:val="2"/>
          <w:sz w:val="20"/>
          <w:szCs w:val="20"/>
          <w14:ligatures w14:val="standardContextual"/>
        </w:rPr>
        <w:t>p</w:t>
      </w:r>
      <w:r w:rsidRPr="00FE4071">
        <w:rPr>
          <w:rFonts w:asciiTheme="minorHAnsi" w:eastAsiaTheme="minorHAnsi" w:hAnsiTheme="minorHAnsi" w:cstheme="minorBidi"/>
          <w:color w:val="00293F" w:themeColor="text1"/>
          <w:kern w:val="2"/>
          <w:sz w:val="20"/>
          <w:szCs w:val="20"/>
          <w14:ligatures w14:val="standardContextual"/>
        </w:rPr>
        <w:t xml:space="preserve">olicy covers all our people across the </w:t>
      </w:r>
      <w:r w:rsidR="00FE4071">
        <w:rPr>
          <w:rFonts w:asciiTheme="minorHAnsi" w:eastAsiaTheme="minorHAnsi" w:hAnsiTheme="minorHAnsi" w:cstheme="minorBidi"/>
          <w:color w:val="00293F" w:themeColor="text1"/>
          <w:kern w:val="2"/>
          <w:sz w:val="20"/>
          <w:szCs w:val="20"/>
          <w14:ligatures w14:val="standardContextual"/>
        </w:rPr>
        <w:t>Group</w:t>
      </w:r>
      <w:r w:rsidRPr="00FE4071">
        <w:rPr>
          <w:rFonts w:asciiTheme="minorHAnsi" w:eastAsiaTheme="minorHAnsi" w:hAnsiTheme="minorHAnsi" w:cstheme="minorBidi"/>
          <w:color w:val="00293F" w:themeColor="text1"/>
          <w:kern w:val="2"/>
          <w:sz w:val="20"/>
          <w:szCs w:val="20"/>
          <w14:ligatures w14:val="standardContextual"/>
        </w:rPr>
        <w:t xml:space="preserve"> entities (including </w:t>
      </w:r>
      <w:r w:rsidR="00FE4071">
        <w:rPr>
          <w:rFonts w:asciiTheme="minorHAnsi" w:eastAsiaTheme="minorHAnsi" w:hAnsiTheme="minorHAnsi" w:cstheme="minorBidi"/>
          <w:color w:val="00293F" w:themeColor="text1"/>
          <w:kern w:val="2"/>
          <w:sz w:val="20"/>
          <w:szCs w:val="20"/>
          <w14:ligatures w14:val="standardContextual"/>
        </w:rPr>
        <w:t>colleagues</w:t>
      </w:r>
      <w:r w:rsidRPr="00FE4071">
        <w:rPr>
          <w:rFonts w:asciiTheme="minorHAnsi" w:eastAsiaTheme="minorHAnsi" w:hAnsiTheme="minorHAnsi" w:cstheme="minorBidi"/>
          <w:color w:val="00293F" w:themeColor="text1"/>
          <w:kern w:val="2"/>
          <w:sz w:val="20"/>
          <w:szCs w:val="20"/>
          <w14:ligatures w14:val="standardContextual"/>
        </w:rPr>
        <w:t xml:space="preserve">, agency or self-employed workers), as well as all third parties and supply chain partners who perform services for and on behalf of the </w:t>
      </w:r>
      <w:r w:rsidR="00FE4071">
        <w:rPr>
          <w:rFonts w:asciiTheme="minorHAnsi" w:eastAsiaTheme="minorHAnsi" w:hAnsiTheme="minorHAnsi" w:cstheme="minorBidi"/>
          <w:color w:val="00293F" w:themeColor="text1"/>
          <w:kern w:val="2"/>
          <w:sz w:val="20"/>
          <w:szCs w:val="20"/>
          <w14:ligatures w14:val="standardContextual"/>
        </w:rPr>
        <w:t>Group</w:t>
      </w:r>
      <w:r w:rsidRPr="00FE4071">
        <w:rPr>
          <w:rFonts w:asciiTheme="minorHAnsi" w:eastAsiaTheme="minorHAnsi" w:hAnsiTheme="minorHAnsi" w:cstheme="minorBidi"/>
          <w:color w:val="00293F" w:themeColor="text1"/>
          <w:kern w:val="2"/>
          <w:sz w:val="20"/>
          <w:szCs w:val="20"/>
          <w14:ligatures w14:val="standardContextual"/>
        </w:rPr>
        <w:t xml:space="preserve">. </w:t>
      </w:r>
    </w:p>
    <w:p w14:paraId="06047BA3" w14:textId="77777777" w:rsidR="009364D6" w:rsidRPr="00FE4071" w:rsidRDefault="009364D6" w:rsidP="009364D6">
      <w:pPr>
        <w:pStyle w:val="BodyText"/>
        <w:jc w:val="both"/>
        <w:rPr>
          <w:rFonts w:asciiTheme="minorHAnsi" w:hAnsiTheme="minorHAnsi"/>
          <w:sz w:val="20"/>
          <w:szCs w:val="20"/>
        </w:rPr>
      </w:pPr>
    </w:p>
    <w:p w14:paraId="2E6FF66D" w14:textId="41519D2A" w:rsidR="00674B3A" w:rsidRPr="00FE4071" w:rsidRDefault="00674B3A" w:rsidP="00674B3A">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What is whistleblowing?</w:t>
      </w:r>
    </w:p>
    <w:p w14:paraId="5A8BC2BC" w14:textId="347C2671" w:rsidR="00451CB6" w:rsidRPr="00FE4071" w:rsidRDefault="00451CB6" w:rsidP="00451CB6">
      <w:pPr>
        <w:pStyle w:val="BodyText"/>
        <w:spacing w:before="61"/>
        <w:ind w:left="567" w:right="155"/>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The Public Interest Disclosure Act 1998 (the “Act”) amended the Employment Rights Act 1996 to provide protection for workers who raise legitimate concerns about specified matters, known as ‘whistleblowing’. The Act protects individuals who make ‘qualifying disclosures’, which are reports of wrongdoing that affect or have the potential to affect others</w:t>
      </w:r>
      <w:r w:rsidR="00FE4071">
        <w:rPr>
          <w:rFonts w:asciiTheme="minorHAnsi" w:eastAsiaTheme="minorHAnsi" w:hAnsiTheme="minorHAnsi" w:cstheme="minorBidi"/>
          <w:color w:val="00293F" w:themeColor="text1"/>
          <w:kern w:val="2"/>
          <w:sz w:val="20"/>
          <w:szCs w:val="20"/>
          <w14:ligatures w14:val="standardContextual"/>
        </w:rPr>
        <w:t>,</w:t>
      </w:r>
      <w:r w:rsidRPr="00FE4071">
        <w:rPr>
          <w:rFonts w:asciiTheme="minorHAnsi" w:eastAsiaTheme="minorHAnsi" w:hAnsiTheme="minorHAnsi" w:cstheme="minorBidi"/>
          <w:color w:val="00293F" w:themeColor="text1"/>
          <w:kern w:val="2"/>
          <w:sz w:val="20"/>
          <w:szCs w:val="20"/>
          <w14:ligatures w14:val="standardContextual"/>
        </w:rPr>
        <w:t xml:space="preserve"> and which are raised in good faith and in the public interest. </w:t>
      </w:r>
    </w:p>
    <w:p w14:paraId="3EBA8B4D" w14:textId="77777777" w:rsidR="00451CB6" w:rsidRPr="00FE4071" w:rsidRDefault="00451CB6" w:rsidP="00451CB6">
      <w:pPr>
        <w:pStyle w:val="BodyText"/>
        <w:spacing w:before="61"/>
        <w:ind w:left="567" w:right="155"/>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Complaints that count as whistleblowing include:</w:t>
      </w:r>
    </w:p>
    <w:p w14:paraId="157EDD1F"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a criminal offence (such as insurance fraud or illegal tax evasion)</w:t>
      </w:r>
    </w:p>
    <w:p w14:paraId="3EF5A110"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failure to comply with a legal or regulatory obligation</w:t>
      </w:r>
    </w:p>
    <w:p w14:paraId="7030C27E"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a miscarriage of justice</w:t>
      </w:r>
    </w:p>
    <w:p w14:paraId="19A25A41"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an act or omission endangering the health or safety of any individual</w:t>
      </w:r>
    </w:p>
    <w:p w14:paraId="046D3A78"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an act or omission causing damage to the environment or</w:t>
      </w:r>
    </w:p>
    <w:p w14:paraId="6D68D2AD"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deliberate concealment of any of the above.</w:t>
      </w:r>
    </w:p>
    <w:p w14:paraId="696722D1" w14:textId="77777777" w:rsidR="00451CB6" w:rsidRPr="00FE4071" w:rsidRDefault="00451CB6" w:rsidP="00451CB6">
      <w:pPr>
        <w:pStyle w:val="BodyText"/>
        <w:spacing w:before="100"/>
        <w:ind w:left="567" w:right="153"/>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Examples of such complaints might include (but are not limited to):</w:t>
      </w:r>
    </w:p>
    <w:p w14:paraId="34AFA263"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unsafe working conditions</w:t>
      </w:r>
    </w:p>
    <w:p w14:paraId="50F59079"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lack of, or poor, response to a reported safety incident</w:t>
      </w:r>
    </w:p>
    <w:p w14:paraId="77B449FF"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inadequate induction or training for our people</w:t>
      </w:r>
    </w:p>
    <w:p w14:paraId="5A87A5E2" w14:textId="77777777"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suspicions of fraud</w:t>
      </w:r>
    </w:p>
    <w:p w14:paraId="20F3BED2" w14:textId="32FF8190" w:rsidR="00451CB6" w:rsidRPr="00FE4071" w:rsidRDefault="00451CB6" w:rsidP="00451CB6">
      <w:pPr>
        <w:pStyle w:val="BodyText"/>
        <w:numPr>
          <w:ilvl w:val="0"/>
          <w:numId w:val="29"/>
        </w:numPr>
        <w:spacing w:before="100"/>
        <w:ind w:left="924" w:right="153" w:hanging="3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lastRenderedPageBreak/>
        <w:t xml:space="preserve">a bullying culture (across a team or business rather than individual instances of bullying which are best reported in line with </w:t>
      </w:r>
      <w:r w:rsidR="00FE4071">
        <w:rPr>
          <w:rFonts w:asciiTheme="minorHAnsi" w:eastAsiaTheme="minorHAnsi" w:hAnsiTheme="minorHAnsi" w:cstheme="minorBidi"/>
          <w:color w:val="00293F" w:themeColor="text1"/>
          <w:kern w:val="2"/>
          <w:sz w:val="20"/>
          <w:szCs w:val="20"/>
          <w14:ligatures w14:val="standardContextual"/>
        </w:rPr>
        <w:t>our</w:t>
      </w:r>
      <w:r w:rsidRPr="00FE4071">
        <w:rPr>
          <w:rFonts w:asciiTheme="minorHAnsi" w:eastAsiaTheme="minorHAnsi" w:hAnsiTheme="minorHAnsi" w:cstheme="minorBidi"/>
          <w:color w:val="00293F" w:themeColor="text1"/>
          <w:kern w:val="2"/>
          <w:sz w:val="20"/>
          <w:szCs w:val="20"/>
          <w14:ligatures w14:val="standardContextual"/>
        </w:rPr>
        <w:t xml:space="preserve"> </w:t>
      </w:r>
      <w:r w:rsidR="004329EF" w:rsidRPr="00FE4071">
        <w:rPr>
          <w:rFonts w:asciiTheme="minorHAnsi" w:eastAsiaTheme="minorHAnsi" w:hAnsiTheme="minorHAnsi" w:cstheme="minorBidi"/>
          <w:color w:val="00293F" w:themeColor="text1"/>
          <w:kern w:val="2"/>
          <w:sz w:val="20"/>
          <w:szCs w:val="20"/>
          <w14:ligatures w14:val="standardContextual"/>
        </w:rPr>
        <w:t>g</w:t>
      </w:r>
      <w:r w:rsidRPr="00FE4071">
        <w:rPr>
          <w:rFonts w:asciiTheme="minorHAnsi" w:eastAsiaTheme="minorHAnsi" w:hAnsiTheme="minorHAnsi" w:cstheme="minorBidi"/>
          <w:color w:val="00293F" w:themeColor="text1"/>
          <w:kern w:val="2"/>
          <w:sz w:val="20"/>
          <w:szCs w:val="20"/>
          <w14:ligatures w14:val="standardContextual"/>
        </w:rPr>
        <w:t xml:space="preserve">rievance </w:t>
      </w:r>
      <w:r w:rsidR="004329EF" w:rsidRPr="00FE4071">
        <w:rPr>
          <w:rFonts w:asciiTheme="minorHAnsi" w:eastAsiaTheme="minorHAnsi" w:hAnsiTheme="minorHAnsi" w:cstheme="minorBidi"/>
          <w:color w:val="00293F" w:themeColor="text1"/>
          <w:kern w:val="2"/>
          <w:sz w:val="20"/>
          <w:szCs w:val="20"/>
          <w14:ligatures w14:val="standardContextual"/>
        </w:rPr>
        <w:t>p</w:t>
      </w:r>
      <w:r w:rsidRPr="00FE4071">
        <w:rPr>
          <w:rFonts w:asciiTheme="minorHAnsi" w:eastAsiaTheme="minorHAnsi" w:hAnsiTheme="minorHAnsi" w:cstheme="minorBidi"/>
          <w:color w:val="00293F" w:themeColor="text1"/>
          <w:kern w:val="2"/>
          <w:sz w:val="20"/>
          <w:szCs w:val="20"/>
          <w14:ligatures w14:val="standardContextual"/>
        </w:rPr>
        <w:t>olicy (see below))</w:t>
      </w:r>
    </w:p>
    <w:p w14:paraId="41EC5176" w14:textId="0E3EAFA0" w:rsidR="00451CB6" w:rsidRPr="00FE4071" w:rsidRDefault="00451CB6" w:rsidP="00451CB6">
      <w:pPr>
        <w:pStyle w:val="BodyText"/>
        <w:spacing w:before="100"/>
        <w:ind w:left="567" w:right="153"/>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It is not necessary for you to have proof that such an act is being, has been, or is likely to be committed – a reasonable belief is sufficient. It is the </w:t>
      </w:r>
      <w:r w:rsidR="00FE4071">
        <w:rPr>
          <w:rFonts w:asciiTheme="minorHAnsi" w:eastAsiaTheme="minorHAnsi" w:hAnsiTheme="minorHAnsi" w:cstheme="minorBidi"/>
          <w:color w:val="00293F" w:themeColor="text1"/>
          <w:kern w:val="2"/>
          <w:sz w:val="20"/>
          <w:szCs w:val="20"/>
          <w14:ligatures w14:val="standardContextual"/>
        </w:rPr>
        <w:t>Group’s</w:t>
      </w:r>
      <w:r w:rsidRPr="00FE4071">
        <w:rPr>
          <w:rFonts w:asciiTheme="minorHAnsi" w:eastAsiaTheme="minorHAnsi" w:hAnsiTheme="minorHAnsi" w:cstheme="minorBidi"/>
          <w:color w:val="00293F" w:themeColor="text1"/>
          <w:kern w:val="2"/>
          <w:sz w:val="20"/>
          <w:szCs w:val="20"/>
          <w14:ligatures w14:val="standardContextual"/>
        </w:rPr>
        <w:t>, rather than your responsibility, to ensur</w:t>
      </w:r>
      <w:r w:rsidR="00FE4071">
        <w:rPr>
          <w:rFonts w:asciiTheme="minorHAnsi" w:eastAsiaTheme="minorHAnsi" w:hAnsiTheme="minorHAnsi" w:cstheme="minorBidi"/>
          <w:color w:val="00293F" w:themeColor="text1"/>
          <w:kern w:val="2"/>
          <w:sz w:val="20"/>
          <w:szCs w:val="20"/>
          <w14:ligatures w14:val="standardContextual"/>
        </w:rPr>
        <w:t>e</w:t>
      </w:r>
      <w:r w:rsidRPr="00FE4071">
        <w:rPr>
          <w:rFonts w:asciiTheme="minorHAnsi" w:eastAsiaTheme="minorHAnsi" w:hAnsiTheme="minorHAnsi" w:cstheme="minorBidi"/>
          <w:color w:val="00293F" w:themeColor="text1"/>
          <w:kern w:val="2"/>
          <w:sz w:val="20"/>
          <w:szCs w:val="20"/>
          <w14:ligatures w14:val="standardContextual"/>
        </w:rPr>
        <w:t xml:space="preserve"> an investigation takes place. </w:t>
      </w:r>
    </w:p>
    <w:p w14:paraId="21FDE72C" w14:textId="77777777" w:rsidR="00451CB6" w:rsidRPr="00FE4071" w:rsidRDefault="00451CB6" w:rsidP="00451CB6">
      <w:pPr>
        <w:pStyle w:val="BodyText"/>
        <w:spacing w:before="100"/>
        <w:ind w:left="567" w:right="153"/>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Maliciously or vexatiously making a false allegation or making an external disclosure that is not protected by the provisions of the Public Interest Disclosure Act 1988 may result in disciplinary action. </w:t>
      </w:r>
    </w:p>
    <w:p w14:paraId="249A4B84" w14:textId="321BB17C" w:rsidR="00451CB6" w:rsidRPr="00FE4071" w:rsidRDefault="00451CB6" w:rsidP="00674B3A">
      <w:pPr>
        <w:spacing w:line="240" w:lineRule="auto"/>
        <w:ind w:left="567"/>
        <w:jc w:val="both"/>
      </w:pPr>
      <w:r w:rsidRPr="00FE4071">
        <w:t xml:space="preserve">This </w:t>
      </w:r>
      <w:r w:rsidR="004329EF" w:rsidRPr="00FE4071">
        <w:t>p</w:t>
      </w:r>
      <w:r w:rsidRPr="00FE4071">
        <w:t xml:space="preserve">olicy is distinct from our </w:t>
      </w:r>
      <w:r w:rsidR="004329EF" w:rsidRPr="00FE4071">
        <w:t>g</w:t>
      </w:r>
      <w:r w:rsidRPr="00FE4071">
        <w:t xml:space="preserve">rievance </w:t>
      </w:r>
      <w:r w:rsidR="004329EF" w:rsidRPr="00FE4071">
        <w:t>p</w:t>
      </w:r>
      <w:r w:rsidRPr="00FE4071">
        <w:t xml:space="preserve">rocedure. If you have a complaint relating to your personal circumstances in the workplace, </w:t>
      </w:r>
      <w:r w:rsidR="00FE4071">
        <w:t>our</w:t>
      </w:r>
      <w:r w:rsidRPr="00FE4071">
        <w:t xml:space="preserve"> </w:t>
      </w:r>
      <w:r w:rsidR="004329EF" w:rsidRPr="00FE4071">
        <w:t>g</w:t>
      </w:r>
      <w:r w:rsidRPr="00FE4071">
        <w:t xml:space="preserve">rievance </w:t>
      </w:r>
      <w:r w:rsidR="004329EF" w:rsidRPr="00FE4071">
        <w:t>p</w:t>
      </w:r>
      <w:r w:rsidRPr="00FE4071">
        <w:t xml:space="preserve">rocedure is the best way to raise your complaint. </w:t>
      </w:r>
    </w:p>
    <w:tbl>
      <w:tblPr>
        <w:tblStyle w:val="TableGrid"/>
        <w:tblW w:w="0" w:type="auto"/>
        <w:tblInd w:w="567" w:type="dxa"/>
        <w:tblLook w:val="04A0" w:firstRow="1" w:lastRow="0" w:firstColumn="1" w:lastColumn="0" w:noHBand="0" w:noVBand="1"/>
      </w:tblPr>
      <w:tblGrid>
        <w:gridCol w:w="4519"/>
        <w:gridCol w:w="4559"/>
      </w:tblGrid>
      <w:tr w:rsidR="00977D33" w:rsidRPr="00FE4071" w14:paraId="346E5E2B" w14:textId="77777777" w:rsidTr="005F0CD8">
        <w:tc>
          <w:tcPr>
            <w:tcW w:w="9078" w:type="dxa"/>
            <w:gridSpan w:val="2"/>
          </w:tcPr>
          <w:p w14:paraId="26BCCF6D" w14:textId="0C10F09B" w:rsidR="00977D33" w:rsidRPr="00FE4071" w:rsidRDefault="00977D33" w:rsidP="00674B3A">
            <w:pPr>
              <w:jc w:val="both"/>
              <w:rPr>
                <w:b/>
                <w:bCs/>
              </w:rPr>
            </w:pPr>
            <w:r w:rsidRPr="00FE4071">
              <w:rPr>
                <w:b/>
                <w:bCs/>
              </w:rPr>
              <w:t>How is whistleblowing different to raising a grievance?</w:t>
            </w:r>
          </w:p>
        </w:tc>
      </w:tr>
      <w:tr w:rsidR="00F8468B" w:rsidRPr="00FE4071" w14:paraId="3F8ECC3B" w14:textId="77777777" w:rsidTr="00977D33">
        <w:tc>
          <w:tcPr>
            <w:tcW w:w="4519" w:type="dxa"/>
          </w:tcPr>
          <w:p w14:paraId="091F5BBC" w14:textId="33AA1410" w:rsidR="00F8468B" w:rsidRPr="00FE4071" w:rsidRDefault="00977D33" w:rsidP="00674B3A">
            <w:pPr>
              <w:jc w:val="both"/>
              <w:rPr>
                <w:b/>
                <w:bCs/>
              </w:rPr>
            </w:pPr>
            <w:r w:rsidRPr="00FE4071">
              <w:rPr>
                <w:b/>
                <w:bCs/>
              </w:rPr>
              <w:t>Whistleblowing</w:t>
            </w:r>
          </w:p>
        </w:tc>
        <w:tc>
          <w:tcPr>
            <w:tcW w:w="4559" w:type="dxa"/>
          </w:tcPr>
          <w:p w14:paraId="130EF30C" w14:textId="07BCC64A" w:rsidR="00F8468B" w:rsidRPr="00FE4071" w:rsidRDefault="00977D33" w:rsidP="00674B3A">
            <w:pPr>
              <w:jc w:val="both"/>
              <w:rPr>
                <w:b/>
                <w:bCs/>
              </w:rPr>
            </w:pPr>
            <w:r w:rsidRPr="00FE4071">
              <w:rPr>
                <w:b/>
                <w:bCs/>
              </w:rPr>
              <w:t>Grievance</w:t>
            </w:r>
          </w:p>
        </w:tc>
      </w:tr>
      <w:tr w:rsidR="00F8468B" w:rsidRPr="00FE4071" w14:paraId="7726DC60" w14:textId="77777777" w:rsidTr="00977D33">
        <w:tc>
          <w:tcPr>
            <w:tcW w:w="4519" w:type="dxa"/>
          </w:tcPr>
          <w:p w14:paraId="643DC81A" w14:textId="40A7D158" w:rsidR="00F8468B" w:rsidRPr="00FE4071" w:rsidRDefault="00F8468B" w:rsidP="003479B9">
            <w:pPr>
              <w:spacing w:after="120"/>
              <w:jc w:val="both"/>
            </w:pPr>
            <w:r w:rsidRPr="00FE4071">
              <w:t>Whistleblowing is about raising concerns relating to wrongdoing, risk or malpractice</w:t>
            </w:r>
            <w:r w:rsidR="00180A8C" w:rsidRPr="00FE4071">
              <w:t xml:space="preserve"> that affect others.</w:t>
            </w:r>
          </w:p>
        </w:tc>
        <w:tc>
          <w:tcPr>
            <w:tcW w:w="4559" w:type="dxa"/>
          </w:tcPr>
          <w:p w14:paraId="31327107" w14:textId="6641C0E1" w:rsidR="00F8468B" w:rsidRPr="00FE4071" w:rsidRDefault="00180A8C" w:rsidP="003479B9">
            <w:pPr>
              <w:spacing w:after="120"/>
              <w:jc w:val="both"/>
            </w:pPr>
            <w:r w:rsidRPr="00FE4071">
              <w:t>Grievances are typically issues about how you as an individual are being treated.</w:t>
            </w:r>
          </w:p>
        </w:tc>
      </w:tr>
      <w:tr w:rsidR="00F8468B" w:rsidRPr="00FE4071" w14:paraId="55593E22" w14:textId="77777777" w:rsidTr="00977D33">
        <w:tc>
          <w:tcPr>
            <w:tcW w:w="4519" w:type="dxa"/>
          </w:tcPr>
          <w:p w14:paraId="28E14FFA" w14:textId="28845A57" w:rsidR="00F8468B" w:rsidRPr="00FE4071" w:rsidRDefault="00180A8C" w:rsidP="003479B9">
            <w:pPr>
              <w:spacing w:after="120"/>
              <w:jc w:val="both"/>
            </w:pPr>
            <w:r w:rsidRPr="00FE4071">
              <w:t>Concerns should be raised in the public interest. Unlike grievances, they may not personally affect you, but they are likely to have wider implications on the public.</w:t>
            </w:r>
          </w:p>
        </w:tc>
        <w:tc>
          <w:tcPr>
            <w:tcW w:w="4559" w:type="dxa"/>
          </w:tcPr>
          <w:p w14:paraId="66C60275" w14:textId="2CAFD2BD" w:rsidR="00F8468B" w:rsidRPr="00FE4071" w:rsidRDefault="00180A8C" w:rsidP="003479B9">
            <w:pPr>
              <w:spacing w:after="120"/>
              <w:jc w:val="both"/>
            </w:pPr>
            <w:r w:rsidRPr="00FE4071">
              <w:t>Grievance</w:t>
            </w:r>
            <w:r w:rsidR="00977D33" w:rsidRPr="00FE4071">
              <w:t xml:space="preserve">s </w:t>
            </w:r>
            <w:r w:rsidRPr="00FE4071">
              <w:t>tend to be raised about things you are asked to do at work, breaches to your contract of employment and any bullying/harassment in the workplace for example</w:t>
            </w:r>
            <w:r w:rsidR="00977D33" w:rsidRPr="00FE4071">
              <w:t>.</w:t>
            </w:r>
          </w:p>
        </w:tc>
      </w:tr>
    </w:tbl>
    <w:p w14:paraId="4E96F91B" w14:textId="1E9BE356" w:rsidR="00451CB6" w:rsidRPr="00FE4071" w:rsidRDefault="00451CB6" w:rsidP="00451CB6">
      <w:pPr>
        <w:pStyle w:val="BodyText"/>
        <w:spacing w:before="121"/>
        <w:ind w:left="567" w:right="159"/>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If you feel it is not possible or appropriate to raise a grievance with your </w:t>
      </w:r>
      <w:r w:rsidR="00FE4071">
        <w:rPr>
          <w:rFonts w:asciiTheme="minorHAnsi" w:eastAsiaTheme="minorHAnsi" w:hAnsiTheme="minorHAnsi" w:cstheme="minorBidi"/>
          <w:color w:val="00293F" w:themeColor="text1"/>
          <w:kern w:val="2"/>
          <w:sz w:val="20"/>
          <w:szCs w:val="20"/>
          <w14:ligatures w14:val="standardContextual"/>
        </w:rPr>
        <w:t>m</w:t>
      </w:r>
      <w:r w:rsidRPr="00FE4071">
        <w:rPr>
          <w:rFonts w:asciiTheme="minorHAnsi" w:eastAsiaTheme="minorHAnsi" w:hAnsiTheme="minorHAnsi" w:cstheme="minorBidi"/>
          <w:color w:val="00293F" w:themeColor="text1"/>
          <w:kern w:val="2"/>
          <w:sz w:val="20"/>
          <w:szCs w:val="20"/>
          <w14:ligatures w14:val="standardContextual"/>
        </w:rPr>
        <w:t>anager/</w:t>
      </w:r>
      <w:r w:rsidR="00FE4071">
        <w:rPr>
          <w:rFonts w:asciiTheme="minorHAnsi" w:eastAsiaTheme="minorHAnsi" w:hAnsiTheme="minorHAnsi" w:cstheme="minorBidi"/>
          <w:color w:val="00293F" w:themeColor="text1"/>
          <w:kern w:val="2"/>
          <w:sz w:val="20"/>
          <w:szCs w:val="20"/>
          <w14:ligatures w14:val="standardContextual"/>
        </w:rPr>
        <w:t>s</w:t>
      </w:r>
      <w:r w:rsidRPr="00FE4071">
        <w:rPr>
          <w:rFonts w:asciiTheme="minorHAnsi" w:eastAsiaTheme="minorHAnsi" w:hAnsiTheme="minorHAnsi" w:cstheme="minorBidi"/>
          <w:color w:val="00293F" w:themeColor="text1"/>
          <w:kern w:val="2"/>
          <w:sz w:val="20"/>
          <w:szCs w:val="20"/>
          <w14:ligatures w14:val="standardContextual"/>
        </w:rPr>
        <w:t xml:space="preserve">upervisor or the next level of </w:t>
      </w:r>
      <w:r w:rsidR="00FE4071">
        <w:rPr>
          <w:rFonts w:asciiTheme="minorHAnsi" w:eastAsiaTheme="minorHAnsi" w:hAnsiTheme="minorHAnsi" w:cstheme="minorBidi"/>
          <w:color w:val="00293F" w:themeColor="text1"/>
          <w:kern w:val="2"/>
          <w:sz w:val="20"/>
          <w:szCs w:val="20"/>
          <w14:ligatures w14:val="standardContextual"/>
        </w:rPr>
        <w:t>m</w:t>
      </w:r>
      <w:r w:rsidRPr="00FE4071">
        <w:rPr>
          <w:rFonts w:asciiTheme="minorHAnsi" w:eastAsiaTheme="minorHAnsi" w:hAnsiTheme="minorHAnsi" w:cstheme="minorBidi"/>
          <w:color w:val="00293F" w:themeColor="text1"/>
          <w:kern w:val="2"/>
          <w:sz w:val="20"/>
          <w:szCs w:val="20"/>
          <w14:ligatures w14:val="standardContextual"/>
        </w:rPr>
        <w:t>anager/</w:t>
      </w:r>
      <w:r w:rsidR="00FE4071">
        <w:rPr>
          <w:rFonts w:asciiTheme="minorHAnsi" w:eastAsiaTheme="minorHAnsi" w:hAnsiTheme="minorHAnsi" w:cstheme="minorBidi"/>
          <w:color w:val="00293F" w:themeColor="text1"/>
          <w:kern w:val="2"/>
          <w:sz w:val="20"/>
          <w:szCs w:val="20"/>
          <w14:ligatures w14:val="standardContextual"/>
        </w:rPr>
        <w:t>s</w:t>
      </w:r>
      <w:r w:rsidRPr="00FE4071">
        <w:rPr>
          <w:rFonts w:asciiTheme="minorHAnsi" w:eastAsiaTheme="minorHAnsi" w:hAnsiTheme="minorHAnsi" w:cstheme="minorBidi"/>
          <w:color w:val="00293F" w:themeColor="text1"/>
          <w:kern w:val="2"/>
          <w:sz w:val="20"/>
          <w:szCs w:val="20"/>
          <w14:ligatures w14:val="standardContextual"/>
        </w:rPr>
        <w:t xml:space="preserve">upervisor, or if you reasonably consider  the </w:t>
      </w:r>
      <w:r w:rsidR="00FE4071">
        <w:rPr>
          <w:rFonts w:asciiTheme="minorHAnsi" w:eastAsiaTheme="minorHAnsi" w:hAnsiTheme="minorHAnsi" w:cstheme="minorBidi"/>
          <w:color w:val="00293F" w:themeColor="text1"/>
          <w:kern w:val="2"/>
          <w:sz w:val="20"/>
          <w:szCs w:val="20"/>
          <w14:ligatures w14:val="standardContextual"/>
        </w:rPr>
        <w:t>m</w:t>
      </w:r>
      <w:r w:rsidRPr="00FE4071">
        <w:rPr>
          <w:rFonts w:asciiTheme="minorHAnsi" w:eastAsiaTheme="minorHAnsi" w:hAnsiTheme="minorHAnsi" w:cstheme="minorBidi"/>
          <w:color w:val="00293F" w:themeColor="text1"/>
          <w:kern w:val="2"/>
          <w:sz w:val="20"/>
          <w:szCs w:val="20"/>
          <w14:ligatures w14:val="standardContextual"/>
        </w:rPr>
        <w:t>anager/</w:t>
      </w:r>
      <w:r w:rsidR="00FE4071">
        <w:rPr>
          <w:rFonts w:asciiTheme="minorHAnsi" w:eastAsiaTheme="minorHAnsi" w:hAnsiTheme="minorHAnsi" w:cstheme="minorBidi"/>
          <w:color w:val="00293F" w:themeColor="text1"/>
          <w:kern w:val="2"/>
          <w:sz w:val="20"/>
          <w:szCs w:val="20"/>
          <w14:ligatures w14:val="standardContextual"/>
        </w:rPr>
        <w:t>s</w:t>
      </w:r>
      <w:r w:rsidRPr="00FE4071">
        <w:rPr>
          <w:rFonts w:asciiTheme="minorHAnsi" w:eastAsiaTheme="minorHAnsi" w:hAnsiTheme="minorHAnsi" w:cstheme="minorBidi"/>
          <w:color w:val="00293F" w:themeColor="text1"/>
          <w:kern w:val="2"/>
          <w:sz w:val="20"/>
          <w:szCs w:val="20"/>
          <w14:ligatures w14:val="standardContextual"/>
        </w:rPr>
        <w:t xml:space="preserve">upervisor will not or has not dealt with the grievance sufficiently or at all, you may raise the concern with </w:t>
      </w:r>
      <w:r w:rsidR="004329EF" w:rsidRPr="00FE4071">
        <w:rPr>
          <w:rFonts w:asciiTheme="minorHAnsi" w:eastAsiaTheme="minorHAnsi" w:hAnsiTheme="minorHAnsi" w:cstheme="minorBidi"/>
          <w:color w:val="00293F" w:themeColor="text1"/>
          <w:kern w:val="2"/>
          <w:sz w:val="20"/>
          <w:szCs w:val="20"/>
          <w14:ligatures w14:val="standardContextual"/>
        </w:rPr>
        <w:t>your People team</w:t>
      </w:r>
      <w:r w:rsidRPr="00FE4071">
        <w:rPr>
          <w:rFonts w:asciiTheme="minorHAnsi" w:eastAsiaTheme="minorHAnsi" w:hAnsiTheme="minorHAnsi" w:cstheme="minorBidi"/>
          <w:color w:val="00293F" w:themeColor="text1"/>
          <w:kern w:val="2"/>
          <w:sz w:val="20"/>
          <w:szCs w:val="20"/>
          <w14:ligatures w14:val="standardContextual"/>
        </w:rPr>
        <w:t xml:space="preserve">, the Director </w:t>
      </w:r>
      <w:r w:rsidR="00323EEA" w:rsidRPr="00FE4071">
        <w:rPr>
          <w:rFonts w:asciiTheme="minorHAnsi" w:eastAsiaTheme="minorHAnsi" w:hAnsiTheme="minorHAnsi" w:cstheme="minorBidi"/>
          <w:color w:val="00293F" w:themeColor="text1"/>
          <w:kern w:val="2"/>
          <w:sz w:val="20"/>
          <w:szCs w:val="20"/>
          <w14:ligatures w14:val="standardContextual"/>
        </w:rPr>
        <w:t xml:space="preserve">of </w:t>
      </w:r>
      <w:r w:rsidR="004329EF" w:rsidRPr="00FE4071">
        <w:rPr>
          <w:rFonts w:asciiTheme="minorHAnsi" w:eastAsiaTheme="minorHAnsi" w:hAnsiTheme="minorHAnsi" w:cstheme="minorBidi"/>
          <w:color w:val="00293F" w:themeColor="text1"/>
          <w:kern w:val="2"/>
          <w:sz w:val="20"/>
          <w:szCs w:val="20"/>
          <w14:ligatures w14:val="standardContextual"/>
        </w:rPr>
        <w:t>i</w:t>
      </w:r>
      <w:r w:rsidRPr="00FE4071">
        <w:rPr>
          <w:rFonts w:asciiTheme="minorHAnsi" w:eastAsiaTheme="minorHAnsi" w:hAnsiTheme="minorHAnsi" w:cstheme="minorBidi"/>
          <w:color w:val="00293F" w:themeColor="text1"/>
          <w:kern w:val="2"/>
          <w:sz w:val="20"/>
          <w:szCs w:val="20"/>
          <w14:ligatures w14:val="standardContextual"/>
        </w:rPr>
        <w:t xml:space="preserve">nternal </w:t>
      </w:r>
      <w:r w:rsidR="004329EF" w:rsidRPr="00FE4071">
        <w:rPr>
          <w:rFonts w:asciiTheme="minorHAnsi" w:eastAsiaTheme="minorHAnsi" w:hAnsiTheme="minorHAnsi" w:cstheme="minorBidi"/>
          <w:color w:val="00293F" w:themeColor="text1"/>
          <w:kern w:val="2"/>
          <w:sz w:val="20"/>
          <w:szCs w:val="20"/>
          <w14:ligatures w14:val="standardContextual"/>
        </w:rPr>
        <w:t>a</w:t>
      </w:r>
      <w:r w:rsidRPr="00FE4071">
        <w:rPr>
          <w:rFonts w:asciiTheme="minorHAnsi" w:eastAsiaTheme="minorHAnsi" w:hAnsiTheme="minorHAnsi" w:cstheme="minorBidi"/>
          <w:color w:val="00293F" w:themeColor="text1"/>
          <w:kern w:val="2"/>
          <w:sz w:val="20"/>
          <w:szCs w:val="20"/>
          <w14:ligatures w14:val="standardContextual"/>
        </w:rPr>
        <w:t xml:space="preserve">udit &amp; </w:t>
      </w:r>
      <w:r w:rsidR="004329EF" w:rsidRPr="00FE4071">
        <w:rPr>
          <w:rFonts w:asciiTheme="minorHAnsi" w:eastAsiaTheme="minorHAnsi" w:hAnsiTheme="minorHAnsi" w:cstheme="minorBidi"/>
          <w:color w:val="00293F" w:themeColor="text1"/>
          <w:kern w:val="2"/>
          <w:sz w:val="20"/>
          <w:szCs w:val="20"/>
          <w14:ligatures w14:val="standardContextual"/>
        </w:rPr>
        <w:t>r</w:t>
      </w:r>
      <w:r w:rsidRPr="00FE4071">
        <w:rPr>
          <w:rFonts w:asciiTheme="minorHAnsi" w:eastAsiaTheme="minorHAnsi" w:hAnsiTheme="minorHAnsi" w:cstheme="minorBidi"/>
          <w:color w:val="00293F" w:themeColor="text1"/>
          <w:kern w:val="2"/>
          <w:sz w:val="20"/>
          <w:szCs w:val="20"/>
          <w14:ligatures w14:val="standardContextual"/>
        </w:rPr>
        <w:t xml:space="preserve">isk, the Group </w:t>
      </w:r>
      <w:r w:rsidR="004329EF" w:rsidRPr="00FE4071">
        <w:rPr>
          <w:rFonts w:asciiTheme="minorHAnsi" w:eastAsiaTheme="minorHAnsi" w:hAnsiTheme="minorHAnsi" w:cstheme="minorBidi"/>
          <w:color w:val="00293F" w:themeColor="text1"/>
          <w:kern w:val="2"/>
          <w:sz w:val="20"/>
          <w:szCs w:val="20"/>
          <w14:ligatures w14:val="standardContextual"/>
        </w:rPr>
        <w:t>g</w:t>
      </w:r>
      <w:r w:rsidRPr="00FE4071">
        <w:rPr>
          <w:rFonts w:asciiTheme="minorHAnsi" w:eastAsiaTheme="minorHAnsi" w:hAnsiTheme="minorHAnsi" w:cstheme="minorBidi"/>
          <w:color w:val="00293F" w:themeColor="text1"/>
          <w:kern w:val="2"/>
          <w:sz w:val="20"/>
          <w:szCs w:val="20"/>
          <w14:ligatures w14:val="standardContextual"/>
        </w:rPr>
        <w:t xml:space="preserve">eneral </w:t>
      </w:r>
      <w:r w:rsidR="004329EF" w:rsidRPr="00FE4071">
        <w:rPr>
          <w:rFonts w:asciiTheme="minorHAnsi" w:eastAsiaTheme="minorHAnsi" w:hAnsiTheme="minorHAnsi" w:cstheme="minorBidi"/>
          <w:color w:val="00293F" w:themeColor="text1"/>
          <w:kern w:val="2"/>
          <w:sz w:val="20"/>
          <w:szCs w:val="20"/>
          <w14:ligatures w14:val="standardContextual"/>
        </w:rPr>
        <w:t>c</w:t>
      </w:r>
      <w:r w:rsidRPr="00FE4071">
        <w:rPr>
          <w:rFonts w:asciiTheme="minorHAnsi" w:eastAsiaTheme="minorHAnsi" w:hAnsiTheme="minorHAnsi" w:cstheme="minorBidi"/>
          <w:color w:val="00293F" w:themeColor="text1"/>
          <w:kern w:val="2"/>
          <w:sz w:val="20"/>
          <w:szCs w:val="20"/>
          <w14:ligatures w14:val="standardContextual"/>
        </w:rPr>
        <w:t xml:space="preserve">ounsel or another member of the Executive </w:t>
      </w:r>
      <w:r w:rsidR="004329EF" w:rsidRPr="00FE4071">
        <w:rPr>
          <w:rFonts w:asciiTheme="minorHAnsi" w:eastAsiaTheme="minorHAnsi" w:hAnsiTheme="minorHAnsi" w:cstheme="minorBidi"/>
          <w:color w:val="00293F" w:themeColor="text1"/>
          <w:kern w:val="2"/>
          <w:sz w:val="20"/>
          <w:szCs w:val="20"/>
          <w14:ligatures w14:val="standardContextual"/>
        </w:rPr>
        <w:t>l</w:t>
      </w:r>
      <w:r w:rsidRPr="00FE4071">
        <w:rPr>
          <w:rFonts w:asciiTheme="minorHAnsi" w:eastAsiaTheme="minorHAnsi" w:hAnsiTheme="minorHAnsi" w:cstheme="minorBidi"/>
          <w:color w:val="00293F" w:themeColor="text1"/>
          <w:kern w:val="2"/>
          <w:sz w:val="20"/>
          <w:szCs w:val="20"/>
          <w14:ligatures w14:val="standardContextual"/>
        </w:rPr>
        <w:t xml:space="preserve">eadership </w:t>
      </w:r>
      <w:r w:rsidR="004329EF" w:rsidRPr="00FE4071">
        <w:rPr>
          <w:rFonts w:asciiTheme="minorHAnsi" w:eastAsiaTheme="minorHAnsi" w:hAnsiTheme="minorHAnsi" w:cstheme="minorBidi"/>
          <w:color w:val="00293F" w:themeColor="text1"/>
          <w:kern w:val="2"/>
          <w:sz w:val="20"/>
          <w:szCs w:val="20"/>
          <w14:ligatures w14:val="standardContextual"/>
        </w:rPr>
        <w:t>t</w:t>
      </w:r>
      <w:r w:rsidRPr="00FE4071">
        <w:rPr>
          <w:rFonts w:asciiTheme="minorHAnsi" w:eastAsiaTheme="minorHAnsi" w:hAnsiTheme="minorHAnsi" w:cstheme="minorBidi"/>
          <w:color w:val="00293F" w:themeColor="text1"/>
          <w:kern w:val="2"/>
          <w:sz w:val="20"/>
          <w:szCs w:val="20"/>
          <w14:ligatures w14:val="standardContextual"/>
        </w:rPr>
        <w:t>eam.</w:t>
      </w:r>
    </w:p>
    <w:p w14:paraId="10DF6597" w14:textId="251C056D" w:rsidR="00451CB6" w:rsidRPr="00FE4071" w:rsidRDefault="00451CB6" w:rsidP="00451CB6">
      <w:pPr>
        <w:pStyle w:val="BodyText"/>
        <w:spacing w:before="121"/>
        <w:ind w:left="567" w:right="159"/>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Anyone who wants free, confidential advice on what is protected by the </w:t>
      </w:r>
      <w:r w:rsidR="004329EF" w:rsidRPr="00FE4071">
        <w:rPr>
          <w:rFonts w:asciiTheme="minorHAnsi" w:eastAsiaTheme="minorHAnsi" w:hAnsiTheme="minorHAnsi" w:cstheme="minorBidi"/>
          <w:color w:val="00293F" w:themeColor="text1"/>
          <w:kern w:val="2"/>
          <w:sz w:val="20"/>
          <w:szCs w:val="20"/>
          <w14:ligatures w14:val="standardContextual"/>
        </w:rPr>
        <w:t>a</w:t>
      </w:r>
      <w:r w:rsidRPr="00FE4071">
        <w:rPr>
          <w:rFonts w:asciiTheme="minorHAnsi" w:eastAsiaTheme="minorHAnsi" w:hAnsiTheme="minorHAnsi" w:cstheme="minorBidi"/>
          <w:color w:val="00293F" w:themeColor="text1"/>
          <w:kern w:val="2"/>
          <w:sz w:val="20"/>
          <w:szCs w:val="20"/>
          <w14:ligatures w14:val="standardContextual"/>
        </w:rPr>
        <w:t>ct and how best to raise their concerns, can contact the independent charity below, which offers free and confidential advice:</w:t>
      </w:r>
    </w:p>
    <w:p w14:paraId="65491118" w14:textId="6A51C1C9" w:rsidR="00451CB6" w:rsidRPr="00FE4071" w:rsidRDefault="00451CB6" w:rsidP="00451CB6">
      <w:pPr>
        <w:pStyle w:val="BodyText"/>
        <w:spacing w:before="121"/>
        <w:ind w:left="567" w:right="159"/>
        <w:jc w:val="both"/>
        <w:rPr>
          <w:rFonts w:asciiTheme="minorHAnsi" w:eastAsiaTheme="minorHAnsi" w:hAnsiTheme="minorHAnsi" w:cstheme="minorBidi"/>
          <w:b/>
          <w:bCs/>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 xml:space="preserve">Protect (formerly Public </w:t>
      </w:r>
      <w:r w:rsidR="004329EF" w:rsidRPr="00FE4071">
        <w:rPr>
          <w:rFonts w:asciiTheme="minorHAnsi" w:eastAsiaTheme="minorHAnsi" w:hAnsiTheme="minorHAnsi" w:cstheme="minorBidi"/>
          <w:b/>
          <w:bCs/>
          <w:color w:val="00293F" w:themeColor="text1"/>
          <w:kern w:val="2"/>
          <w:sz w:val="20"/>
          <w:szCs w:val="20"/>
          <w14:ligatures w14:val="standardContextual"/>
        </w:rPr>
        <w:t>c</w:t>
      </w:r>
      <w:r w:rsidRPr="00FE4071">
        <w:rPr>
          <w:rFonts w:asciiTheme="minorHAnsi" w:eastAsiaTheme="minorHAnsi" w:hAnsiTheme="minorHAnsi" w:cstheme="minorBidi"/>
          <w:b/>
          <w:bCs/>
          <w:color w:val="00293F" w:themeColor="text1"/>
          <w:kern w:val="2"/>
          <w:sz w:val="20"/>
          <w:szCs w:val="20"/>
          <w14:ligatures w14:val="standardContextual"/>
        </w:rPr>
        <w:t xml:space="preserve">oncern at </w:t>
      </w:r>
      <w:r w:rsidR="004329EF" w:rsidRPr="00FE4071">
        <w:rPr>
          <w:rFonts w:asciiTheme="minorHAnsi" w:eastAsiaTheme="minorHAnsi" w:hAnsiTheme="minorHAnsi" w:cstheme="minorBidi"/>
          <w:b/>
          <w:bCs/>
          <w:color w:val="00293F" w:themeColor="text1"/>
          <w:kern w:val="2"/>
          <w:sz w:val="20"/>
          <w:szCs w:val="20"/>
          <w14:ligatures w14:val="standardContextual"/>
        </w:rPr>
        <w:t>w</w:t>
      </w:r>
      <w:r w:rsidRPr="00FE4071">
        <w:rPr>
          <w:rFonts w:asciiTheme="minorHAnsi" w:eastAsiaTheme="minorHAnsi" w:hAnsiTheme="minorHAnsi" w:cstheme="minorBidi"/>
          <w:b/>
          <w:bCs/>
          <w:color w:val="00293F" w:themeColor="text1"/>
          <w:kern w:val="2"/>
          <w:sz w:val="20"/>
          <w:szCs w:val="20"/>
          <w14:ligatures w14:val="standardContextual"/>
        </w:rPr>
        <w:t>ork)</w:t>
      </w:r>
    </w:p>
    <w:p w14:paraId="3F21AB3F" w14:textId="77777777" w:rsidR="00451CB6" w:rsidRPr="00FE4071" w:rsidRDefault="00451CB6" w:rsidP="00451CB6">
      <w:pPr>
        <w:pStyle w:val="BodyText"/>
        <w:spacing w:before="121"/>
        <w:ind w:left="567" w:right="159"/>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Telephone: 020 3117 2520</w:t>
      </w:r>
    </w:p>
    <w:p w14:paraId="09B36E73" w14:textId="77777777" w:rsidR="00451CB6" w:rsidRPr="00FE4071" w:rsidRDefault="00451CB6" w:rsidP="00451CB6">
      <w:pPr>
        <w:pStyle w:val="BodyText"/>
        <w:spacing w:before="121" w:after="0"/>
        <w:ind w:left="567" w:right="159"/>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Website: www.protect-advice.org.uk</w:t>
      </w:r>
    </w:p>
    <w:p w14:paraId="745FE8A3" w14:textId="3274FD00" w:rsidR="00674B3A" w:rsidRPr="00FE4071" w:rsidRDefault="00674B3A" w:rsidP="00674B3A">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 xml:space="preserve">Roles and </w:t>
      </w:r>
      <w:r w:rsidR="004329EF" w:rsidRPr="00FE4071">
        <w:rPr>
          <w:rFonts w:asciiTheme="minorHAnsi" w:eastAsiaTheme="minorHAnsi" w:hAnsiTheme="minorHAnsi" w:cstheme="minorBidi"/>
          <w:b/>
          <w:bCs/>
          <w:color w:val="00293F" w:themeColor="text1"/>
          <w:kern w:val="2"/>
          <w:sz w:val="20"/>
          <w:szCs w:val="20"/>
          <w14:ligatures w14:val="standardContextual"/>
        </w:rPr>
        <w:t>r</w:t>
      </w:r>
      <w:r w:rsidRPr="00FE4071">
        <w:rPr>
          <w:rFonts w:asciiTheme="minorHAnsi" w:eastAsiaTheme="minorHAnsi" w:hAnsiTheme="minorHAnsi" w:cstheme="minorBidi"/>
          <w:b/>
          <w:bCs/>
          <w:color w:val="00293F" w:themeColor="text1"/>
          <w:kern w:val="2"/>
          <w:sz w:val="20"/>
          <w:szCs w:val="20"/>
          <w14:ligatures w14:val="standardContextual"/>
        </w:rPr>
        <w:t>esponsibilities</w:t>
      </w:r>
    </w:p>
    <w:p w14:paraId="5D5D5901" w14:textId="2427FE7C" w:rsidR="00451CB6" w:rsidRPr="00FE4071" w:rsidRDefault="00451CB6" w:rsidP="00674B3A">
      <w:pPr>
        <w:spacing w:after="0"/>
        <w:ind w:left="567"/>
        <w:jc w:val="both"/>
      </w:pPr>
      <w:r w:rsidRPr="00FE4071">
        <w:t xml:space="preserve">The </w:t>
      </w:r>
      <w:r w:rsidRPr="00FE4071">
        <w:rPr>
          <w:b/>
          <w:bCs/>
        </w:rPr>
        <w:t xml:space="preserve">Executive </w:t>
      </w:r>
      <w:r w:rsidR="004329EF" w:rsidRPr="00FE4071">
        <w:rPr>
          <w:b/>
          <w:bCs/>
        </w:rPr>
        <w:t>l</w:t>
      </w:r>
      <w:r w:rsidRPr="00FE4071">
        <w:rPr>
          <w:b/>
          <w:bCs/>
        </w:rPr>
        <w:t xml:space="preserve">eadership </w:t>
      </w:r>
      <w:r w:rsidR="004329EF" w:rsidRPr="00FE4071">
        <w:rPr>
          <w:b/>
          <w:bCs/>
        </w:rPr>
        <w:t>t</w:t>
      </w:r>
      <w:r w:rsidRPr="00FE4071">
        <w:rPr>
          <w:b/>
          <w:bCs/>
        </w:rPr>
        <w:t>eam</w:t>
      </w:r>
      <w:r w:rsidRPr="00FE4071">
        <w:t xml:space="preserve"> will:</w:t>
      </w:r>
    </w:p>
    <w:p w14:paraId="612C75CB" w14:textId="639F5776" w:rsidR="00451CB6" w:rsidRPr="00FE4071" w:rsidRDefault="00451CB6" w:rsidP="00451CB6">
      <w:pPr>
        <w:pStyle w:val="ListParagraph"/>
        <w:numPr>
          <w:ilvl w:val="0"/>
          <w:numId w:val="30"/>
        </w:numPr>
        <w:spacing w:after="0" w:line="240" w:lineRule="auto"/>
        <w:ind w:left="924" w:hanging="357"/>
        <w:jc w:val="both"/>
      </w:pPr>
      <w:r w:rsidRPr="00FE4071">
        <w:t xml:space="preserve">demonstrate commitment to developing an open culture within </w:t>
      </w:r>
      <w:r w:rsidR="00FE4071">
        <w:t xml:space="preserve">M Group </w:t>
      </w:r>
      <w:r w:rsidRPr="00FE4071">
        <w:t>through actions and strategy</w:t>
      </w:r>
    </w:p>
    <w:p w14:paraId="01AFE54F" w14:textId="06BB751D" w:rsidR="00451CB6" w:rsidRPr="00FE4071" w:rsidRDefault="00451CB6" w:rsidP="00451CB6">
      <w:pPr>
        <w:pStyle w:val="ListParagraph"/>
        <w:numPr>
          <w:ilvl w:val="0"/>
          <w:numId w:val="30"/>
        </w:numPr>
        <w:spacing w:after="0" w:line="240" w:lineRule="auto"/>
        <w:ind w:left="924" w:hanging="357"/>
        <w:jc w:val="both"/>
      </w:pPr>
      <w:r w:rsidRPr="00FE4071">
        <w:t xml:space="preserve">receive and review regular updates on whistleblowing activity via </w:t>
      </w:r>
      <w:r w:rsidR="004329EF" w:rsidRPr="00FE4071">
        <w:t>b</w:t>
      </w:r>
      <w:r w:rsidRPr="00FE4071">
        <w:t>oard papers; and,</w:t>
      </w:r>
    </w:p>
    <w:p w14:paraId="53FCC524" w14:textId="62E6BA29" w:rsidR="00451CB6" w:rsidRPr="00FE4071" w:rsidRDefault="00451CB6" w:rsidP="00E23BD6">
      <w:pPr>
        <w:pStyle w:val="ListParagraph"/>
        <w:numPr>
          <w:ilvl w:val="0"/>
          <w:numId w:val="30"/>
        </w:numPr>
        <w:spacing w:after="120" w:line="240" w:lineRule="auto"/>
        <w:ind w:left="924" w:hanging="357"/>
        <w:jc w:val="both"/>
      </w:pPr>
      <w:r w:rsidRPr="00FE4071">
        <w:t xml:space="preserve">appoint individuals to manage whistleblowing across the </w:t>
      </w:r>
      <w:r w:rsidR="00FE4071">
        <w:t>Group</w:t>
      </w:r>
      <w:r w:rsidRPr="00FE4071">
        <w:t xml:space="preserve">. The appointed individuals are the Director of </w:t>
      </w:r>
      <w:r w:rsidR="004329EF" w:rsidRPr="00FE4071">
        <w:t>i</w:t>
      </w:r>
      <w:r w:rsidRPr="00FE4071">
        <w:t xml:space="preserve">nternal </w:t>
      </w:r>
      <w:r w:rsidR="004329EF" w:rsidRPr="00FE4071">
        <w:t>a</w:t>
      </w:r>
      <w:r w:rsidRPr="00FE4071">
        <w:t xml:space="preserve">udit &amp; </w:t>
      </w:r>
      <w:r w:rsidR="004329EF" w:rsidRPr="00FE4071">
        <w:t>r</w:t>
      </w:r>
      <w:r w:rsidRPr="00FE4071">
        <w:t xml:space="preserve">isk, </w:t>
      </w:r>
      <w:r w:rsidR="004329EF" w:rsidRPr="00FE4071">
        <w:t>S</w:t>
      </w:r>
      <w:r w:rsidRPr="00FE4071">
        <w:t xml:space="preserve">enior </w:t>
      </w:r>
      <w:r w:rsidR="004329EF" w:rsidRPr="00FE4071">
        <w:t>i</w:t>
      </w:r>
      <w:r w:rsidRPr="00FE4071">
        <w:t xml:space="preserve">nternal </w:t>
      </w:r>
      <w:r w:rsidR="004329EF" w:rsidRPr="00FE4071">
        <w:t>a</w:t>
      </w:r>
      <w:r w:rsidRPr="00FE4071">
        <w:t xml:space="preserve">udit </w:t>
      </w:r>
      <w:r w:rsidR="004329EF" w:rsidRPr="00FE4071">
        <w:t>m</w:t>
      </w:r>
      <w:r w:rsidRPr="00FE4071">
        <w:t xml:space="preserve">anager and Head of </w:t>
      </w:r>
      <w:r w:rsidR="006D0056" w:rsidRPr="00FE4071">
        <w:t>E</w:t>
      </w:r>
      <w:r w:rsidRPr="00FE4071">
        <w:t xml:space="preserve">R – </w:t>
      </w:r>
      <w:r w:rsidR="00FE4071">
        <w:t>g</w:t>
      </w:r>
      <w:r w:rsidRPr="00FE4071">
        <w:t xml:space="preserve">roup </w:t>
      </w:r>
      <w:r w:rsidR="00FE4071">
        <w:t>s</w:t>
      </w:r>
      <w:r w:rsidRPr="00FE4071">
        <w:t xml:space="preserve">upport (the “Designated </w:t>
      </w:r>
      <w:r w:rsidR="00FE4071">
        <w:t>o</w:t>
      </w:r>
      <w:r w:rsidRPr="00FE4071">
        <w:t xml:space="preserve">fficer(s)"). </w:t>
      </w:r>
    </w:p>
    <w:p w14:paraId="07378E3B" w14:textId="77777777" w:rsidR="00FE4071" w:rsidRDefault="00FE4071" w:rsidP="00E23BD6">
      <w:pPr>
        <w:spacing w:after="0"/>
        <w:ind w:left="567"/>
        <w:jc w:val="both"/>
        <w:rPr>
          <w:b/>
          <w:bCs/>
        </w:rPr>
      </w:pPr>
    </w:p>
    <w:p w14:paraId="2F9BD6AB" w14:textId="48809095" w:rsidR="00451CB6" w:rsidRPr="00FE4071" w:rsidRDefault="00451CB6" w:rsidP="00E23BD6">
      <w:pPr>
        <w:spacing w:after="0"/>
        <w:ind w:left="567"/>
        <w:jc w:val="both"/>
      </w:pPr>
      <w:r w:rsidRPr="00FE4071">
        <w:rPr>
          <w:b/>
          <w:bCs/>
        </w:rPr>
        <w:t xml:space="preserve">Designated </w:t>
      </w:r>
      <w:r w:rsidR="004329EF" w:rsidRPr="00FE4071">
        <w:rPr>
          <w:b/>
          <w:bCs/>
        </w:rPr>
        <w:t>o</w:t>
      </w:r>
      <w:r w:rsidRPr="00FE4071">
        <w:rPr>
          <w:b/>
          <w:bCs/>
        </w:rPr>
        <w:t>fficer(s)</w:t>
      </w:r>
      <w:r w:rsidRPr="00FE4071">
        <w:t xml:space="preserve"> have lead responsibility for the whistleblowing procedure and for dealing with issues raised. They will:</w:t>
      </w:r>
    </w:p>
    <w:p w14:paraId="08872EBF" w14:textId="795828B3" w:rsidR="00451CB6" w:rsidRPr="00FE4071" w:rsidRDefault="00451CB6" w:rsidP="00451CB6">
      <w:pPr>
        <w:pStyle w:val="ListParagraph"/>
        <w:numPr>
          <w:ilvl w:val="0"/>
          <w:numId w:val="32"/>
        </w:numPr>
        <w:spacing w:after="0" w:line="240" w:lineRule="auto"/>
        <w:ind w:left="924" w:hanging="357"/>
        <w:jc w:val="both"/>
      </w:pPr>
      <w:r w:rsidRPr="00FE4071">
        <w:t xml:space="preserve">oversee and review this </w:t>
      </w:r>
      <w:r w:rsidR="004329EF" w:rsidRPr="00FE4071">
        <w:t>p</w:t>
      </w:r>
      <w:r w:rsidRPr="00FE4071">
        <w:t>olicy</w:t>
      </w:r>
    </w:p>
    <w:p w14:paraId="451919F2" w14:textId="461E4EDE" w:rsidR="00451CB6" w:rsidRPr="00FE4071" w:rsidRDefault="00451CB6" w:rsidP="00451CB6">
      <w:pPr>
        <w:pStyle w:val="ListParagraph"/>
        <w:numPr>
          <w:ilvl w:val="0"/>
          <w:numId w:val="32"/>
        </w:numPr>
        <w:spacing w:after="0" w:line="240" w:lineRule="auto"/>
        <w:ind w:left="924" w:hanging="357"/>
        <w:jc w:val="both"/>
      </w:pPr>
      <w:r w:rsidRPr="00FE4071">
        <w:t xml:space="preserve">provide advice and support to individuals within the scope of this </w:t>
      </w:r>
      <w:r w:rsidR="004329EF" w:rsidRPr="00FE4071">
        <w:t>p</w:t>
      </w:r>
      <w:r w:rsidRPr="00FE4071">
        <w:t>olicy</w:t>
      </w:r>
    </w:p>
    <w:p w14:paraId="6F053A78" w14:textId="13C46D99" w:rsidR="00451CB6" w:rsidRPr="00FE4071" w:rsidRDefault="00451CB6" w:rsidP="00451CB6">
      <w:pPr>
        <w:pStyle w:val="ListParagraph"/>
        <w:numPr>
          <w:ilvl w:val="0"/>
          <w:numId w:val="32"/>
        </w:numPr>
        <w:spacing w:after="0" w:line="240" w:lineRule="auto"/>
        <w:ind w:left="924" w:hanging="357"/>
        <w:jc w:val="both"/>
      </w:pPr>
      <w:r w:rsidRPr="00FE4071">
        <w:t xml:space="preserve">ensure learning from whistleblowing cases is fed back to the wider </w:t>
      </w:r>
      <w:r w:rsidR="004329EF" w:rsidRPr="00FE4071">
        <w:t>c</w:t>
      </w:r>
      <w:r w:rsidRPr="00FE4071">
        <w:t>ompany</w:t>
      </w:r>
    </w:p>
    <w:p w14:paraId="36A0FA77" w14:textId="71AD3CFA" w:rsidR="00451CB6" w:rsidRPr="00FE4071" w:rsidRDefault="00451CB6" w:rsidP="00451CB6">
      <w:pPr>
        <w:pStyle w:val="ListParagraph"/>
        <w:numPr>
          <w:ilvl w:val="0"/>
          <w:numId w:val="32"/>
        </w:numPr>
        <w:spacing w:after="0" w:line="240" w:lineRule="auto"/>
        <w:ind w:left="924" w:hanging="357"/>
        <w:jc w:val="both"/>
      </w:pPr>
      <w:r w:rsidRPr="00FE4071">
        <w:t>investigate promptly and thoroughly any whistleblowing concerns raised</w:t>
      </w:r>
    </w:p>
    <w:p w14:paraId="58B57E39" w14:textId="1B05AE8D" w:rsidR="00451CB6" w:rsidRPr="00FE4071" w:rsidRDefault="00451CB6" w:rsidP="00451CB6">
      <w:pPr>
        <w:pStyle w:val="ListParagraph"/>
        <w:numPr>
          <w:ilvl w:val="0"/>
          <w:numId w:val="32"/>
        </w:numPr>
        <w:spacing w:after="0" w:line="240" w:lineRule="auto"/>
        <w:ind w:left="924" w:hanging="357"/>
        <w:jc w:val="both"/>
      </w:pPr>
      <w:r w:rsidRPr="00FE4071">
        <w:t xml:space="preserve">keep the Executive </w:t>
      </w:r>
      <w:r w:rsidR="004329EF" w:rsidRPr="00FE4071">
        <w:t>l</w:t>
      </w:r>
      <w:r w:rsidRPr="00FE4071">
        <w:t xml:space="preserve">eadership </w:t>
      </w:r>
      <w:r w:rsidR="004329EF" w:rsidRPr="00FE4071">
        <w:t>t</w:t>
      </w:r>
      <w:r w:rsidRPr="00FE4071">
        <w:t>eam informed of reported disclosures (maintaining the confidentiality of the reporter) and the actions being taken; and,</w:t>
      </w:r>
    </w:p>
    <w:p w14:paraId="449B7629" w14:textId="3B6A11EF" w:rsidR="00451CB6" w:rsidRPr="00FE4071" w:rsidRDefault="00451CB6" w:rsidP="00E23BD6">
      <w:pPr>
        <w:pStyle w:val="ListParagraph"/>
        <w:numPr>
          <w:ilvl w:val="0"/>
          <w:numId w:val="32"/>
        </w:numPr>
        <w:spacing w:after="120" w:line="240" w:lineRule="auto"/>
        <w:ind w:left="924" w:hanging="357"/>
        <w:jc w:val="both"/>
      </w:pPr>
      <w:r w:rsidRPr="00FE4071">
        <w:t xml:space="preserve">provide updates within </w:t>
      </w:r>
      <w:r w:rsidR="004329EF" w:rsidRPr="00FE4071">
        <w:t>b</w:t>
      </w:r>
      <w:r w:rsidRPr="00FE4071">
        <w:t>oard papers on whistleblowing.</w:t>
      </w:r>
    </w:p>
    <w:p w14:paraId="59D01BD3" w14:textId="77777777" w:rsidR="004329EF" w:rsidRPr="00FE4071" w:rsidRDefault="004329EF" w:rsidP="00E23BD6">
      <w:pPr>
        <w:spacing w:after="0"/>
        <w:ind w:left="567"/>
        <w:jc w:val="both"/>
        <w:rPr>
          <w:b/>
          <w:bCs/>
        </w:rPr>
      </w:pPr>
    </w:p>
    <w:p w14:paraId="1B10E940" w14:textId="6273F28C" w:rsidR="00451CB6" w:rsidRPr="00FE4071" w:rsidRDefault="00451CB6" w:rsidP="00E23BD6">
      <w:pPr>
        <w:spacing w:after="0"/>
        <w:ind w:left="567"/>
        <w:jc w:val="both"/>
      </w:pPr>
      <w:r w:rsidRPr="00FE4071">
        <w:rPr>
          <w:b/>
          <w:bCs/>
        </w:rPr>
        <w:t>All individuals in scope of this</w:t>
      </w:r>
      <w:r w:rsidRPr="00FE4071">
        <w:t xml:space="preserve"> </w:t>
      </w:r>
      <w:r w:rsidR="004329EF" w:rsidRPr="00FE4071">
        <w:rPr>
          <w:b/>
          <w:bCs/>
        </w:rPr>
        <w:t>p</w:t>
      </w:r>
      <w:r w:rsidRPr="00FE4071">
        <w:rPr>
          <w:b/>
          <w:bCs/>
        </w:rPr>
        <w:t xml:space="preserve">olicy </w:t>
      </w:r>
      <w:r w:rsidRPr="00FE4071">
        <w:t>have responsibility to:</w:t>
      </w:r>
    </w:p>
    <w:p w14:paraId="72D0F45E" w14:textId="21703A86" w:rsidR="00451CB6" w:rsidRPr="00FE4071" w:rsidRDefault="00451CB6" w:rsidP="00451CB6">
      <w:pPr>
        <w:pStyle w:val="ListParagraph"/>
        <w:numPr>
          <w:ilvl w:val="0"/>
          <w:numId w:val="33"/>
        </w:numPr>
        <w:spacing w:after="0" w:line="240" w:lineRule="auto"/>
        <w:ind w:left="924" w:hanging="357"/>
        <w:jc w:val="both"/>
      </w:pPr>
      <w:r w:rsidRPr="00FE4071">
        <w:t>report wrongdoing (</w:t>
      </w:r>
      <w:r w:rsidR="00FE4071" w:rsidRPr="00FE4071">
        <w:t>whistle blow</w:t>
      </w:r>
      <w:r w:rsidRPr="00FE4071">
        <w:t xml:space="preserve">) under the circumstances set out in this </w:t>
      </w:r>
      <w:r w:rsidR="004329EF" w:rsidRPr="00FE4071">
        <w:t>p</w:t>
      </w:r>
      <w:r w:rsidRPr="00FE4071">
        <w:t>olicy; and,</w:t>
      </w:r>
    </w:p>
    <w:p w14:paraId="6FB0BD22" w14:textId="333E40D6" w:rsidR="00451CB6" w:rsidRPr="00FE4071" w:rsidRDefault="00451CB6" w:rsidP="00E23BD6">
      <w:pPr>
        <w:pStyle w:val="ListParagraph"/>
        <w:numPr>
          <w:ilvl w:val="0"/>
          <w:numId w:val="33"/>
        </w:numPr>
        <w:spacing w:after="120" w:line="240" w:lineRule="auto"/>
        <w:ind w:left="924" w:hanging="357"/>
        <w:jc w:val="both"/>
      </w:pPr>
      <w:r w:rsidRPr="00FE4071">
        <w:lastRenderedPageBreak/>
        <w:t xml:space="preserve">complete </w:t>
      </w:r>
      <w:r w:rsidR="00FE4071">
        <w:t>our</w:t>
      </w:r>
      <w:r w:rsidRPr="00FE4071">
        <w:t xml:space="preserve"> mandatory training modules.</w:t>
      </w:r>
    </w:p>
    <w:p w14:paraId="6A54A6CD" w14:textId="21C51977" w:rsidR="00451CB6" w:rsidRPr="00FE4071" w:rsidRDefault="00451CB6" w:rsidP="00E23BD6">
      <w:pPr>
        <w:spacing w:after="0"/>
        <w:ind w:left="567"/>
        <w:jc w:val="both"/>
      </w:pPr>
      <w:r w:rsidRPr="00FE4071">
        <w:rPr>
          <w:b/>
          <w:bCs/>
        </w:rPr>
        <w:t>Line managers/</w:t>
      </w:r>
      <w:r w:rsidR="004329EF" w:rsidRPr="00FE4071">
        <w:rPr>
          <w:b/>
          <w:bCs/>
        </w:rPr>
        <w:t>People d</w:t>
      </w:r>
      <w:r w:rsidRPr="00FE4071">
        <w:rPr>
          <w:b/>
          <w:bCs/>
        </w:rPr>
        <w:t>irectors</w:t>
      </w:r>
      <w:r w:rsidRPr="00FE4071">
        <w:t xml:space="preserve"> are responsible for:</w:t>
      </w:r>
    </w:p>
    <w:p w14:paraId="4C900494" w14:textId="764A0FEE" w:rsidR="00451CB6" w:rsidRPr="00FE4071" w:rsidRDefault="00451CB6" w:rsidP="00451CB6">
      <w:pPr>
        <w:pStyle w:val="ListParagraph"/>
        <w:numPr>
          <w:ilvl w:val="0"/>
          <w:numId w:val="31"/>
        </w:numPr>
        <w:spacing w:after="0" w:line="240" w:lineRule="auto"/>
        <w:ind w:left="924" w:hanging="357"/>
        <w:jc w:val="both"/>
      </w:pPr>
      <w:r w:rsidRPr="00FE4071">
        <w:t xml:space="preserve">ensuring individuals within scope of this </w:t>
      </w:r>
      <w:r w:rsidR="004329EF" w:rsidRPr="00FE4071">
        <w:t>p</w:t>
      </w:r>
      <w:r w:rsidRPr="00FE4071">
        <w:t>olicy are aware of it, and their responsibilities under it</w:t>
      </w:r>
    </w:p>
    <w:p w14:paraId="4C0C7024" w14:textId="77777777" w:rsidR="00451CB6" w:rsidRPr="00FE4071" w:rsidRDefault="00451CB6" w:rsidP="00451CB6">
      <w:pPr>
        <w:pStyle w:val="ListParagraph"/>
        <w:numPr>
          <w:ilvl w:val="0"/>
          <w:numId w:val="31"/>
        </w:numPr>
        <w:spacing w:after="0" w:line="240" w:lineRule="auto"/>
        <w:ind w:left="924" w:hanging="357"/>
        <w:jc w:val="both"/>
      </w:pPr>
      <w:r w:rsidRPr="00FE4071">
        <w:t>fostering an open culture, ensuring any whistleblower is not subject to detriment; and,</w:t>
      </w:r>
    </w:p>
    <w:p w14:paraId="1436EEC5" w14:textId="029FD8A8" w:rsidR="00451CB6" w:rsidRPr="00FE4071" w:rsidRDefault="00451CB6" w:rsidP="00451CB6">
      <w:pPr>
        <w:pStyle w:val="ListParagraph"/>
        <w:numPr>
          <w:ilvl w:val="0"/>
          <w:numId w:val="31"/>
        </w:numPr>
        <w:spacing w:line="276" w:lineRule="auto"/>
        <w:ind w:left="924" w:hanging="357"/>
        <w:jc w:val="both"/>
      </w:pPr>
      <w:r w:rsidRPr="00FE4071">
        <w:t xml:space="preserve">communicating any concerns raised to them to one of the Designated </w:t>
      </w:r>
      <w:r w:rsidR="004329EF" w:rsidRPr="00FE4071">
        <w:t>o</w:t>
      </w:r>
      <w:r w:rsidRPr="00FE4071">
        <w:t>fficer(s), or via the Navex hotline if preferrable.</w:t>
      </w:r>
    </w:p>
    <w:p w14:paraId="3F6DC09F" w14:textId="0082C5E1" w:rsidR="00E23BD6" w:rsidRPr="00FE4071" w:rsidRDefault="00E23BD6" w:rsidP="00E23BD6">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How to raise a concern</w:t>
      </w:r>
    </w:p>
    <w:p w14:paraId="0EFFDDCA" w14:textId="77777777" w:rsidR="00451CB6" w:rsidRPr="00FE4071" w:rsidRDefault="00451CB6" w:rsidP="00E23BD6">
      <w:pPr>
        <w:spacing w:after="0" w:line="240" w:lineRule="auto"/>
        <w:ind w:left="567"/>
        <w:jc w:val="both"/>
      </w:pPr>
      <w:r w:rsidRPr="00FE4071">
        <w:t>If you have a concern, you should act promptly so it can be investigated as soon as possible.</w:t>
      </w:r>
    </w:p>
    <w:p w14:paraId="08EC3AD2" w14:textId="77777777" w:rsidR="00451CB6" w:rsidRPr="00FE4071" w:rsidRDefault="00451CB6" w:rsidP="00E23BD6">
      <w:pPr>
        <w:pStyle w:val="ListParagraph"/>
        <w:spacing w:after="0" w:line="240" w:lineRule="auto"/>
        <w:ind w:left="1491"/>
        <w:jc w:val="both"/>
      </w:pPr>
    </w:p>
    <w:p w14:paraId="699932C0" w14:textId="77777777" w:rsidR="00451CB6" w:rsidRPr="00FE4071" w:rsidRDefault="00451CB6" w:rsidP="00E23BD6">
      <w:pPr>
        <w:spacing w:after="0" w:line="240" w:lineRule="auto"/>
        <w:ind w:left="567"/>
        <w:jc w:val="both"/>
      </w:pPr>
      <w:r w:rsidRPr="00FE4071">
        <w:t>An independent whistleblowing hotline is available, operated by Navex. Reports can be made via a call, where an independent call agent will record your concerns, or via an online form, anonymously where required, as per the below:</w:t>
      </w:r>
    </w:p>
    <w:p w14:paraId="353CCCE3" w14:textId="77777777" w:rsidR="00451CB6" w:rsidRPr="00FE4071" w:rsidRDefault="00451CB6" w:rsidP="00E23BD6">
      <w:pPr>
        <w:pStyle w:val="ListParagraph"/>
        <w:spacing w:after="0" w:line="240" w:lineRule="auto"/>
        <w:ind w:left="924"/>
        <w:jc w:val="both"/>
      </w:pPr>
    </w:p>
    <w:p w14:paraId="788CF1D5" w14:textId="77777777" w:rsidR="00451CB6" w:rsidRPr="00FE4071" w:rsidRDefault="00451CB6" w:rsidP="00E23BD6">
      <w:pPr>
        <w:spacing w:after="0" w:line="240" w:lineRule="auto"/>
        <w:ind w:left="567"/>
        <w:jc w:val="both"/>
      </w:pPr>
      <w:r w:rsidRPr="00FE4071">
        <w:rPr>
          <w:noProof/>
        </w:rPr>
        <w:drawing>
          <wp:anchor distT="0" distB="0" distL="114300" distR="114300" simplePos="0" relativeHeight="251659264" behindDoc="0" locked="0" layoutInCell="1" allowOverlap="1" wp14:anchorId="6844B245" wp14:editId="03A29305">
            <wp:simplePos x="0" y="0"/>
            <wp:positionH relativeFrom="column">
              <wp:posOffset>151765</wp:posOffset>
            </wp:positionH>
            <wp:positionV relativeFrom="paragraph">
              <wp:posOffset>107950</wp:posOffset>
            </wp:positionV>
            <wp:extent cx="810895" cy="335280"/>
            <wp:effectExtent l="0" t="0" r="8255" b="7620"/>
            <wp:wrapSquare wrapText="bothSides"/>
            <wp:docPr id="6"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895" cy="335280"/>
                    </a:xfrm>
                    <a:prstGeom prst="rect">
                      <a:avLst/>
                    </a:prstGeom>
                    <a:noFill/>
                  </pic:spPr>
                </pic:pic>
              </a:graphicData>
            </a:graphic>
          </wp:anchor>
        </w:drawing>
      </w:r>
      <w:r w:rsidRPr="00FE4071">
        <w:tab/>
        <w:t xml:space="preserve">Dial: 0-800-89-0011 (British Telecom) </w:t>
      </w:r>
    </w:p>
    <w:p w14:paraId="5226829F" w14:textId="77777777" w:rsidR="00451CB6" w:rsidRPr="00FE4071" w:rsidRDefault="00451CB6" w:rsidP="00E23BD6">
      <w:pPr>
        <w:spacing w:after="0" w:line="240" w:lineRule="auto"/>
        <w:ind w:left="2160" w:firstLine="153"/>
        <w:jc w:val="both"/>
      </w:pPr>
      <w:r w:rsidRPr="00FE4071">
        <w:t>Then dial: 833 573 1738</w:t>
      </w:r>
    </w:p>
    <w:p w14:paraId="364B0231" w14:textId="1B8196F1" w:rsidR="00E23BD6" w:rsidRPr="00FE4071" w:rsidRDefault="00E23BD6" w:rsidP="00E23BD6">
      <w:pPr>
        <w:spacing w:after="0" w:line="240" w:lineRule="auto"/>
        <w:ind w:left="360" w:firstLine="360"/>
        <w:jc w:val="both"/>
      </w:pPr>
      <w:r w:rsidRPr="00FE4071">
        <w:rPr>
          <w:b/>
          <w:bCs/>
        </w:rPr>
        <w:t xml:space="preserve"> </w:t>
      </w:r>
      <w:hyperlink r:id="rId13" w:history="1">
        <w:r w:rsidRPr="00FE4071">
          <w:rPr>
            <w:rStyle w:val="Hyperlink"/>
            <w:b/>
            <w:bCs/>
          </w:rPr>
          <w:t>mgroupspeakup.ethicspoint.com</w:t>
        </w:r>
      </w:hyperlink>
    </w:p>
    <w:p w14:paraId="2A6DEC8C" w14:textId="0F5132FD" w:rsidR="00451CB6" w:rsidRPr="00FE4071" w:rsidRDefault="00451CB6" w:rsidP="00E23BD6">
      <w:pPr>
        <w:spacing w:after="0" w:line="240" w:lineRule="auto"/>
        <w:jc w:val="both"/>
      </w:pPr>
    </w:p>
    <w:p w14:paraId="08B87772" w14:textId="3E7EC290" w:rsidR="00E23BD6" w:rsidRPr="00FE4071" w:rsidRDefault="00E23BD6" w:rsidP="00E23BD6">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 xml:space="preserve">What </w:t>
      </w:r>
      <w:r w:rsidR="00FE4071">
        <w:rPr>
          <w:rFonts w:asciiTheme="minorHAnsi" w:eastAsiaTheme="minorHAnsi" w:hAnsiTheme="minorHAnsi" w:cstheme="minorBidi"/>
          <w:b/>
          <w:bCs/>
          <w:color w:val="00293F" w:themeColor="text1"/>
          <w:kern w:val="2"/>
          <w:sz w:val="20"/>
          <w:szCs w:val="20"/>
          <w14:ligatures w14:val="standardContextual"/>
        </w:rPr>
        <w:t>we</w:t>
      </w:r>
      <w:r w:rsidRPr="00FE4071">
        <w:rPr>
          <w:rFonts w:asciiTheme="minorHAnsi" w:eastAsiaTheme="minorHAnsi" w:hAnsiTheme="minorHAnsi" w:cstheme="minorBidi"/>
          <w:b/>
          <w:bCs/>
          <w:color w:val="00293F" w:themeColor="text1"/>
          <w:kern w:val="2"/>
          <w:sz w:val="20"/>
          <w:szCs w:val="20"/>
          <w14:ligatures w14:val="standardContextual"/>
        </w:rPr>
        <w:t xml:space="preserve"> will do</w:t>
      </w:r>
    </w:p>
    <w:p w14:paraId="61F4DFC7" w14:textId="767349D4" w:rsidR="00451CB6" w:rsidRPr="00FE4071" w:rsidRDefault="00451CB6" w:rsidP="00451CB6">
      <w:pPr>
        <w:pStyle w:val="ListParagraph"/>
        <w:widowControl w:val="0"/>
        <w:tabs>
          <w:tab w:val="left" w:pos="841"/>
        </w:tabs>
        <w:autoSpaceDE w:val="0"/>
        <w:autoSpaceDN w:val="0"/>
        <w:spacing w:before="79" w:line="237" w:lineRule="auto"/>
        <w:ind w:left="567" w:right="155"/>
        <w:contextualSpacing w:val="0"/>
        <w:jc w:val="both"/>
      </w:pPr>
      <w:r w:rsidRPr="00FE4071">
        <w:t xml:space="preserve">Once you have raised your concern, it will then be shared with the Designated </w:t>
      </w:r>
      <w:r w:rsidR="008764C6" w:rsidRPr="00FE4071">
        <w:t>o</w:t>
      </w:r>
      <w:r w:rsidRPr="00FE4071">
        <w:t>fficer(s), who will review the concern and decide what action needs to be taken. This may include an internal investigation, interviews, support from other teams and external parties if needed. You will receive acknowledgement your concern has been received and is being investigated; you may be asked for further information during the investigation if you</w:t>
      </w:r>
      <w:r w:rsidR="008764C6" w:rsidRPr="00FE4071">
        <w:t xml:space="preserve">’re </w:t>
      </w:r>
      <w:r w:rsidRPr="00FE4071">
        <w:t xml:space="preserve">willing to provide it and will be informed when the investigation has concluded. </w:t>
      </w:r>
    </w:p>
    <w:p w14:paraId="0A39B67B" w14:textId="09F8C15E" w:rsidR="00451CB6" w:rsidRPr="00FE4071" w:rsidRDefault="00451CB6" w:rsidP="00451CB6">
      <w:pPr>
        <w:pStyle w:val="ListParagraph"/>
        <w:widowControl w:val="0"/>
        <w:tabs>
          <w:tab w:val="left" w:pos="841"/>
        </w:tabs>
        <w:autoSpaceDE w:val="0"/>
        <w:autoSpaceDN w:val="0"/>
        <w:spacing w:before="79" w:line="237" w:lineRule="auto"/>
        <w:ind w:left="567" w:right="155"/>
        <w:contextualSpacing w:val="0"/>
        <w:jc w:val="both"/>
      </w:pPr>
      <w:r w:rsidRPr="00FE4071">
        <w:t xml:space="preserve">The outcome of the investigation will be shared with appropriate members of the Executive </w:t>
      </w:r>
      <w:r w:rsidR="008764C6" w:rsidRPr="00FE4071">
        <w:t>l</w:t>
      </w:r>
      <w:r w:rsidRPr="00FE4071">
        <w:t xml:space="preserve">eadership </w:t>
      </w:r>
      <w:r w:rsidR="008764C6" w:rsidRPr="00FE4071">
        <w:t>t</w:t>
      </w:r>
      <w:r w:rsidRPr="00FE4071">
        <w:t xml:space="preserve">eam to determine the appropriate course of action, which may include reporting the matter to a government department or regulatory agency. </w:t>
      </w:r>
    </w:p>
    <w:p w14:paraId="631A3059" w14:textId="09562BAB" w:rsidR="00451CB6" w:rsidRPr="00FE4071" w:rsidRDefault="00451CB6" w:rsidP="00451CB6">
      <w:pPr>
        <w:pStyle w:val="ListParagraph"/>
        <w:widowControl w:val="0"/>
        <w:tabs>
          <w:tab w:val="left" w:pos="841"/>
        </w:tabs>
        <w:autoSpaceDE w:val="0"/>
        <w:autoSpaceDN w:val="0"/>
        <w:spacing w:before="146" w:line="232" w:lineRule="auto"/>
        <w:ind w:left="567" w:right="156"/>
        <w:contextualSpacing w:val="0"/>
        <w:jc w:val="both"/>
      </w:pPr>
      <w:r w:rsidRPr="00FE4071">
        <w:t xml:space="preserve">The identity of anyone making whistleblowing disclosures will be kept confidential at all times as far as is possible. </w:t>
      </w:r>
      <w:r w:rsidR="00FE4071">
        <w:t>We</w:t>
      </w:r>
      <w:r w:rsidRPr="00FE4071">
        <w:t xml:space="preserve"> acknowledge however, in some circumstances it may be possible for others to deduce identity from the action taken by </w:t>
      </w:r>
      <w:r w:rsidR="00FE4071">
        <w:t xml:space="preserve">us </w:t>
      </w:r>
      <w:r w:rsidRPr="00FE4071">
        <w:t>to investigate, or to remedy, the wrongdoing. During investigations, efforts will be made to find independent and separate evidence for any reported suspicion. However, circumstances may arise where an investigation cannot be concluded or progressed further unless you are willing to have your name cited in wider discussions. In such a situation, consent would be obtained before further action was taken.</w:t>
      </w:r>
    </w:p>
    <w:p w14:paraId="7EBDB1DA" w14:textId="77777777" w:rsidR="00451CB6" w:rsidRPr="00FE4071" w:rsidRDefault="00451CB6" w:rsidP="00451CB6">
      <w:pPr>
        <w:pStyle w:val="ListParagraph"/>
        <w:widowControl w:val="0"/>
        <w:tabs>
          <w:tab w:val="left" w:pos="841"/>
        </w:tabs>
        <w:autoSpaceDE w:val="0"/>
        <w:autoSpaceDN w:val="0"/>
        <w:spacing w:before="146" w:line="232" w:lineRule="auto"/>
        <w:ind w:left="567" w:right="156"/>
        <w:contextualSpacing w:val="0"/>
        <w:jc w:val="both"/>
      </w:pPr>
      <w:r w:rsidRPr="00FE4071">
        <w:t>Reports that are considered grievances rather than whistleblowing will be referred to the correct grievance process.</w:t>
      </w:r>
    </w:p>
    <w:p w14:paraId="4E5CEB23" w14:textId="61282646" w:rsidR="00451CB6" w:rsidRPr="00FE4071" w:rsidRDefault="00E23BD6" w:rsidP="00E23BD6">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 xml:space="preserve">External </w:t>
      </w:r>
      <w:r w:rsidR="008764C6" w:rsidRPr="00FE4071">
        <w:rPr>
          <w:rFonts w:asciiTheme="minorHAnsi" w:eastAsiaTheme="minorHAnsi" w:hAnsiTheme="minorHAnsi" w:cstheme="minorBidi"/>
          <w:b/>
          <w:bCs/>
          <w:color w:val="00293F" w:themeColor="text1"/>
          <w:kern w:val="2"/>
          <w:sz w:val="20"/>
          <w:szCs w:val="20"/>
          <w14:ligatures w14:val="standardContextual"/>
        </w:rPr>
        <w:t>d</w:t>
      </w:r>
      <w:r w:rsidRPr="00FE4071">
        <w:rPr>
          <w:rFonts w:asciiTheme="minorHAnsi" w:eastAsiaTheme="minorHAnsi" w:hAnsiTheme="minorHAnsi" w:cstheme="minorBidi"/>
          <w:b/>
          <w:bCs/>
          <w:color w:val="00293F" w:themeColor="text1"/>
          <w:kern w:val="2"/>
          <w:sz w:val="20"/>
          <w:szCs w:val="20"/>
          <w14:ligatures w14:val="standardContextual"/>
        </w:rPr>
        <w:t>isclosure</w:t>
      </w:r>
    </w:p>
    <w:p w14:paraId="69BA3FBB" w14:textId="1A101717" w:rsidR="00451CB6" w:rsidRPr="00FE4071" w:rsidRDefault="00451CB6" w:rsidP="00451CB6">
      <w:pPr>
        <w:pStyle w:val="BodyText"/>
        <w:spacing w:before="62"/>
        <w:ind w:left="567" w:right="15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t xml:space="preserve">There are external bodies such as the appropriate regulatory authority, police or a Member of Parliament it is possible to raise whistleblowing concerns with. However, unless you have followed this procedure and are genuinely and reasonably dissatisfied with the outcome, concerns should be raised via the internal processes defined in this procedure and not externally. The concern raised will be fully investigated and other external parties notified if necessary. </w:t>
      </w:r>
    </w:p>
    <w:p w14:paraId="3206A31B" w14:textId="77777777" w:rsidR="008764C6" w:rsidRPr="00FE4071" w:rsidRDefault="008764C6" w:rsidP="00E23BD6">
      <w:pPr>
        <w:pStyle w:val="BodyText"/>
        <w:spacing w:before="63" w:after="0"/>
        <w:ind w:left="567"/>
        <w:jc w:val="both"/>
        <w:rPr>
          <w:rFonts w:asciiTheme="minorHAnsi" w:eastAsiaTheme="minorHAnsi" w:hAnsiTheme="minorHAnsi" w:cstheme="minorBidi"/>
          <w:b/>
          <w:bCs/>
          <w:color w:val="00293F" w:themeColor="text1"/>
          <w:kern w:val="2"/>
          <w:sz w:val="20"/>
          <w:szCs w:val="20"/>
          <w14:ligatures w14:val="standardContextual"/>
        </w:rPr>
      </w:pPr>
    </w:p>
    <w:p w14:paraId="2940C120" w14:textId="5C513261" w:rsidR="00E23BD6" w:rsidRPr="00FE4071" w:rsidRDefault="00E23BD6" w:rsidP="00E23BD6">
      <w:pPr>
        <w:pStyle w:val="BodyText"/>
        <w:spacing w:before="63" w:after="0"/>
        <w:ind w:left="567"/>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b/>
          <w:bCs/>
          <w:color w:val="00293F" w:themeColor="text1"/>
          <w:kern w:val="2"/>
          <w:sz w:val="20"/>
          <w:szCs w:val="20"/>
          <w14:ligatures w14:val="standardContextual"/>
        </w:rPr>
        <w:t>Safeguards</w:t>
      </w:r>
    </w:p>
    <w:p w14:paraId="1B738435" w14:textId="0ED5007F" w:rsidR="00451CB6" w:rsidRPr="00FE4071" w:rsidRDefault="00FE4071" w:rsidP="00451CB6">
      <w:pPr>
        <w:pStyle w:val="BodyText"/>
        <w:spacing w:before="61"/>
        <w:ind w:left="567" w:right="155"/>
        <w:jc w:val="both"/>
        <w:rPr>
          <w:rFonts w:asciiTheme="minorHAnsi" w:eastAsiaTheme="minorHAnsi" w:hAnsiTheme="minorHAnsi" w:cstheme="minorBidi"/>
          <w:color w:val="00293F" w:themeColor="text1"/>
          <w:kern w:val="2"/>
          <w:sz w:val="20"/>
          <w:szCs w:val="20"/>
          <w14:ligatures w14:val="standardContextual"/>
        </w:rPr>
      </w:pPr>
      <w:r>
        <w:rPr>
          <w:rFonts w:asciiTheme="minorHAnsi" w:eastAsiaTheme="minorHAnsi" w:hAnsiTheme="minorHAnsi" w:cstheme="minorBidi"/>
          <w:color w:val="00293F" w:themeColor="text1"/>
          <w:kern w:val="2"/>
          <w:sz w:val="20"/>
          <w:szCs w:val="20"/>
          <w14:ligatures w14:val="standardContextual"/>
        </w:rPr>
        <w:t>M Group</w:t>
      </w:r>
      <w:r w:rsidR="00451CB6" w:rsidRPr="00FE4071">
        <w:rPr>
          <w:rFonts w:asciiTheme="minorHAnsi" w:eastAsiaTheme="minorHAnsi" w:hAnsiTheme="minorHAnsi" w:cstheme="minorBidi"/>
          <w:color w:val="00293F" w:themeColor="text1"/>
          <w:kern w:val="2"/>
          <w:sz w:val="20"/>
          <w:szCs w:val="20"/>
          <w14:ligatures w14:val="standardContextual"/>
        </w:rPr>
        <w:t xml:space="preserve"> will not (and will use reasonable endeavours to ensure that </w:t>
      </w:r>
      <w:r w:rsidR="008764C6" w:rsidRPr="00FE4071">
        <w:rPr>
          <w:rFonts w:asciiTheme="minorHAnsi" w:eastAsiaTheme="minorHAnsi" w:hAnsiTheme="minorHAnsi" w:cstheme="minorBidi"/>
          <w:color w:val="00293F" w:themeColor="text1"/>
          <w:kern w:val="2"/>
          <w:sz w:val="20"/>
          <w:szCs w:val="20"/>
          <w14:ligatures w14:val="standardContextual"/>
        </w:rPr>
        <w:t>our</w:t>
      </w:r>
      <w:r w:rsidR="00451CB6" w:rsidRPr="00FE4071">
        <w:rPr>
          <w:rFonts w:asciiTheme="minorHAnsi" w:eastAsiaTheme="minorHAnsi" w:hAnsiTheme="minorHAnsi" w:cstheme="minorBidi"/>
          <w:color w:val="00293F" w:themeColor="text1"/>
          <w:kern w:val="2"/>
          <w:sz w:val="20"/>
          <w:szCs w:val="20"/>
          <w14:ligatures w14:val="standardContextual"/>
        </w:rPr>
        <w:t xml:space="preserve"> people do not), subject others to any detriment as a result of raising a whistleblowing disclosure. Any such treatment should be immediately reported via Navex. </w:t>
      </w:r>
    </w:p>
    <w:p w14:paraId="39A399EE" w14:textId="3FBFBF48" w:rsidR="00451CB6" w:rsidRPr="00FE4071" w:rsidRDefault="00451CB6" w:rsidP="00451CB6">
      <w:pPr>
        <w:pStyle w:val="BodyText"/>
        <w:spacing w:before="121"/>
        <w:ind w:left="567" w:right="159"/>
        <w:jc w:val="both"/>
        <w:rPr>
          <w:rFonts w:asciiTheme="minorHAnsi" w:eastAsiaTheme="minorHAnsi" w:hAnsiTheme="minorHAnsi" w:cstheme="minorBidi"/>
          <w:color w:val="00293F" w:themeColor="text1"/>
          <w:kern w:val="2"/>
          <w:sz w:val="20"/>
          <w:szCs w:val="20"/>
          <w14:ligatures w14:val="standardContextual"/>
        </w:rPr>
      </w:pPr>
      <w:r w:rsidRPr="00FE4071">
        <w:rPr>
          <w:rFonts w:asciiTheme="minorHAnsi" w:eastAsiaTheme="minorHAnsi" w:hAnsiTheme="minorHAnsi" w:cstheme="minorBidi"/>
          <w:color w:val="00293F" w:themeColor="text1"/>
          <w:kern w:val="2"/>
          <w:sz w:val="20"/>
          <w:szCs w:val="20"/>
          <w14:ligatures w14:val="standardContextual"/>
        </w:rPr>
        <w:lastRenderedPageBreak/>
        <w:t xml:space="preserve">You </w:t>
      </w:r>
      <w:r w:rsidR="0011080F" w:rsidRPr="00FE4071">
        <w:rPr>
          <w:rFonts w:asciiTheme="minorHAnsi" w:eastAsiaTheme="minorHAnsi" w:hAnsiTheme="minorHAnsi" w:cstheme="minorBidi"/>
          <w:color w:val="00293F" w:themeColor="text1"/>
          <w:kern w:val="2"/>
          <w:sz w:val="20"/>
          <w:szCs w:val="20"/>
          <w14:ligatures w14:val="standardContextual"/>
        </w:rPr>
        <w:t>won’t</w:t>
      </w:r>
      <w:r w:rsidRPr="00FE4071">
        <w:rPr>
          <w:rFonts w:asciiTheme="minorHAnsi" w:eastAsiaTheme="minorHAnsi" w:hAnsiTheme="minorHAnsi" w:cstheme="minorBidi"/>
          <w:color w:val="00293F" w:themeColor="text1"/>
          <w:kern w:val="2"/>
          <w:sz w:val="20"/>
          <w:szCs w:val="20"/>
          <w14:ligatures w14:val="standardContextual"/>
        </w:rPr>
        <w:t xml:space="preserve"> be subjected to any disciplinary action for making a disclosure in good faith in accordance with this procedure. However, if </w:t>
      </w:r>
      <w:r w:rsidR="00FE4071">
        <w:rPr>
          <w:rFonts w:asciiTheme="minorHAnsi" w:eastAsiaTheme="minorHAnsi" w:hAnsiTheme="minorHAnsi" w:cstheme="minorBidi"/>
          <w:color w:val="00293F" w:themeColor="text1"/>
          <w:kern w:val="2"/>
          <w:sz w:val="20"/>
          <w:szCs w:val="20"/>
          <w14:ligatures w14:val="standardContextual"/>
        </w:rPr>
        <w:t>we</w:t>
      </w:r>
      <w:r w:rsidRPr="00FE4071">
        <w:rPr>
          <w:rFonts w:asciiTheme="minorHAnsi" w:eastAsiaTheme="minorHAnsi" w:hAnsiTheme="minorHAnsi" w:cstheme="minorBidi"/>
          <w:color w:val="00293F" w:themeColor="text1"/>
          <w:kern w:val="2"/>
          <w:sz w:val="20"/>
          <w:szCs w:val="20"/>
          <w14:ligatures w14:val="standardContextual"/>
        </w:rPr>
        <w:t xml:space="preserve"> believe the disclosure has been made maliciously or vexatiously, or where an external disclosure is made when not </w:t>
      </w:r>
      <w:r w:rsidR="008764C6" w:rsidRPr="00FE4071">
        <w:rPr>
          <w:rFonts w:asciiTheme="minorHAnsi" w:eastAsiaTheme="minorHAnsi" w:hAnsiTheme="minorHAnsi" w:cstheme="minorBidi"/>
          <w:color w:val="00293F" w:themeColor="text1"/>
          <w:kern w:val="2"/>
          <w:sz w:val="20"/>
          <w:szCs w:val="20"/>
          <w14:ligatures w14:val="standardContextual"/>
        </w:rPr>
        <w:t>‘</w:t>
      </w:r>
      <w:r w:rsidRPr="00FE4071">
        <w:rPr>
          <w:rFonts w:asciiTheme="minorHAnsi" w:eastAsiaTheme="minorHAnsi" w:hAnsiTheme="minorHAnsi" w:cstheme="minorBidi"/>
          <w:color w:val="00293F" w:themeColor="text1"/>
          <w:kern w:val="2"/>
          <w:sz w:val="20"/>
          <w:szCs w:val="20"/>
          <w14:ligatures w14:val="standardContextual"/>
        </w:rPr>
        <w:t>protected</w:t>
      </w:r>
      <w:r w:rsidR="008764C6" w:rsidRPr="00FE4071">
        <w:rPr>
          <w:rFonts w:asciiTheme="minorHAnsi" w:eastAsiaTheme="minorHAnsi" w:hAnsiTheme="minorHAnsi" w:cstheme="minorBidi"/>
          <w:color w:val="00293F" w:themeColor="text1"/>
          <w:kern w:val="2"/>
          <w:sz w:val="20"/>
          <w:szCs w:val="20"/>
          <w14:ligatures w14:val="standardContextual"/>
        </w:rPr>
        <w:t>’</w:t>
      </w:r>
      <w:r w:rsidRPr="00FE4071">
        <w:rPr>
          <w:rFonts w:asciiTheme="minorHAnsi" w:eastAsiaTheme="minorHAnsi" w:hAnsiTheme="minorHAnsi" w:cstheme="minorBidi"/>
          <w:color w:val="00293F" w:themeColor="text1"/>
          <w:kern w:val="2"/>
          <w:sz w:val="20"/>
          <w:szCs w:val="20"/>
          <w14:ligatures w14:val="standardContextual"/>
        </w:rPr>
        <w:t xml:space="preserve"> by the provisions of the Act, then </w:t>
      </w:r>
      <w:r w:rsidR="00FE4071">
        <w:rPr>
          <w:rFonts w:asciiTheme="minorHAnsi" w:eastAsiaTheme="minorHAnsi" w:hAnsiTheme="minorHAnsi" w:cstheme="minorBidi"/>
          <w:color w:val="00293F" w:themeColor="text1"/>
          <w:kern w:val="2"/>
          <w:sz w:val="20"/>
          <w:szCs w:val="20"/>
          <w14:ligatures w14:val="standardContextual"/>
        </w:rPr>
        <w:t>we</w:t>
      </w:r>
      <w:r w:rsidRPr="00FE4071">
        <w:rPr>
          <w:rFonts w:asciiTheme="minorHAnsi" w:eastAsiaTheme="minorHAnsi" w:hAnsiTheme="minorHAnsi" w:cstheme="minorBidi"/>
          <w:color w:val="00293F" w:themeColor="text1"/>
          <w:kern w:val="2"/>
          <w:sz w:val="20"/>
          <w:szCs w:val="20"/>
          <w14:ligatures w14:val="standardContextual"/>
        </w:rPr>
        <w:t xml:space="preserve"> may bring disciplinary action. </w:t>
      </w:r>
    </w:p>
    <w:p w14:paraId="11FCC7F8" w14:textId="368BD9CF" w:rsidR="00451CB6" w:rsidRPr="00FE4071" w:rsidRDefault="00451CB6" w:rsidP="009364D6">
      <w:pPr>
        <w:pStyle w:val="BodyText"/>
        <w:spacing w:before="121"/>
        <w:ind w:left="567" w:right="159"/>
        <w:jc w:val="both"/>
        <w:rPr>
          <w:rFonts w:asciiTheme="minorHAnsi" w:eastAsiaTheme="minorHAnsi" w:hAnsiTheme="minorHAnsi" w:cstheme="minorBidi"/>
          <w:color w:val="00293F" w:themeColor="text1"/>
          <w:kern w:val="2"/>
          <w:sz w:val="20"/>
          <w:szCs w:val="20"/>
          <w14:ligatures w14:val="standardContextual"/>
        </w:rPr>
      </w:pPr>
      <w:bookmarkStart w:id="0" w:name="_Hlk151025144"/>
      <w:r w:rsidRPr="00FE4071">
        <w:rPr>
          <w:rFonts w:asciiTheme="minorHAnsi" w:eastAsiaTheme="minorHAnsi" w:hAnsiTheme="minorHAnsi" w:cstheme="minorBidi"/>
          <w:color w:val="00293F" w:themeColor="text1"/>
          <w:kern w:val="2"/>
          <w:sz w:val="20"/>
          <w:szCs w:val="20"/>
          <w14:ligatures w14:val="standardContextual"/>
        </w:rPr>
        <w:t xml:space="preserve">Any victimisation or reprisals against a whistleblower or any attempt to deter them from raising a concern will be treated as a disciplinary matter under </w:t>
      </w:r>
      <w:r w:rsidR="00FE4071">
        <w:rPr>
          <w:rFonts w:asciiTheme="minorHAnsi" w:eastAsiaTheme="minorHAnsi" w:hAnsiTheme="minorHAnsi" w:cstheme="minorBidi"/>
          <w:color w:val="00293F" w:themeColor="text1"/>
          <w:kern w:val="2"/>
          <w:sz w:val="20"/>
          <w:szCs w:val="20"/>
          <w14:ligatures w14:val="standardContextual"/>
        </w:rPr>
        <w:t>our</w:t>
      </w:r>
      <w:r w:rsidRPr="00FE4071">
        <w:rPr>
          <w:rFonts w:asciiTheme="minorHAnsi" w:eastAsiaTheme="minorHAnsi" w:hAnsiTheme="minorHAnsi" w:cstheme="minorBidi"/>
          <w:color w:val="00293F" w:themeColor="text1"/>
          <w:kern w:val="2"/>
          <w:sz w:val="20"/>
          <w:szCs w:val="20"/>
          <w14:ligatures w14:val="standardContextual"/>
        </w:rPr>
        <w:t xml:space="preserve"> disciplinary procedures.</w:t>
      </w:r>
      <w:bookmarkEnd w:id="0"/>
    </w:p>
    <w:sectPr w:rsidR="00451CB6" w:rsidRPr="00FE4071" w:rsidSect="00027A38">
      <w:headerReference w:type="default" r:id="rId14"/>
      <w:footerReference w:type="default" r:id="rId15"/>
      <w:headerReference w:type="first" r:id="rId16"/>
      <w:footerReference w:type="first" r:id="rId17"/>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BF50" w14:textId="77777777" w:rsidR="00614137" w:rsidRDefault="00614137" w:rsidP="00B40E15">
      <w:pPr>
        <w:spacing w:after="0" w:line="240" w:lineRule="auto"/>
      </w:pPr>
      <w:r>
        <w:separator/>
      </w:r>
    </w:p>
    <w:p w14:paraId="3721103E" w14:textId="77777777" w:rsidR="00614137" w:rsidRDefault="00614137"/>
  </w:endnote>
  <w:endnote w:type="continuationSeparator" w:id="0">
    <w:p w14:paraId="5C159309" w14:textId="77777777" w:rsidR="00614137" w:rsidRDefault="00614137" w:rsidP="00B40E15">
      <w:pPr>
        <w:spacing w:after="0" w:line="240" w:lineRule="auto"/>
      </w:pPr>
      <w:r>
        <w:continuationSeparator/>
      </w:r>
    </w:p>
    <w:p w14:paraId="42B6A460" w14:textId="77777777" w:rsidR="00614137" w:rsidRDefault="00614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4A56" w14:textId="77777777" w:rsidR="00DB55C5" w:rsidRDefault="009214C5" w:rsidP="009214C5">
    <w:pPr>
      <w:pStyle w:val="Footer"/>
      <w:tabs>
        <w:tab w:val="clear" w:pos="4513"/>
        <w:tab w:val="clear" w:pos="9026"/>
        <w:tab w:val="right" w:pos="9617"/>
      </w:tabs>
    </w:pPr>
    <w:r w:rsidRPr="00F55648">
      <w:t>mgroupltd.com</w:t>
    </w:r>
  </w:p>
  <w:p w14:paraId="15979747" w14:textId="77777777" w:rsidR="00744CFC" w:rsidRDefault="00744CFC" w:rsidP="00744CFC">
    <w:pPr>
      <w:pStyle w:val="Footer"/>
    </w:pPr>
    <w:r>
      <w:t>MGS-POL-HR-020 – Revision 4</w:t>
    </w:r>
  </w:p>
  <w:p w14:paraId="66102CE7" w14:textId="77777777" w:rsidR="00744CFC" w:rsidRDefault="00744CFC" w:rsidP="009214C5">
    <w:pPr>
      <w:pStyle w:val="Footer"/>
      <w:tabs>
        <w:tab w:val="clear" w:pos="4513"/>
        <w:tab w:val="clear" w:pos="9026"/>
        <w:tab w:val="right" w:pos="9617"/>
      </w:tabs>
    </w:pPr>
  </w:p>
  <w:p w14:paraId="2E50B19E" w14:textId="629CE313" w:rsidR="001745C5" w:rsidRPr="009214C5" w:rsidRDefault="009214C5" w:rsidP="009214C5">
    <w:pPr>
      <w:pStyle w:val="Footer"/>
      <w:tabs>
        <w:tab w:val="clear" w:pos="4513"/>
        <w:tab w:val="clear" w:pos="9026"/>
        <w:tab w:val="right" w:pos="9617"/>
      </w:tabs>
    </w:pPr>
    <w:r>
      <w:ptab w:relativeTo="margin" w:alignment="right" w:leader="none"/>
    </w:r>
    <w:r w:rsidRPr="008824F6">
      <w:rPr>
        <w:noProof/>
        <w:position w:val="-1"/>
      </w:rPr>
      <w:drawing>
        <wp:inline distT="0" distB="0" distL="0" distR="0" wp14:anchorId="59393EB5" wp14:editId="042782AB">
          <wp:extent cx="680400" cy="587408"/>
          <wp:effectExtent l="0" t="0" r="5715" b="3175"/>
          <wp:docPr id="1504683774"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57831277"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7CA3" w14:textId="77777777" w:rsidR="009214C5" w:rsidRDefault="009214C5">
    <w:pPr>
      <w:pStyle w:val="Footer"/>
    </w:pPr>
    <w:r w:rsidRPr="00A572A9">
      <w:t>mgroupltd.com</w:t>
    </w:r>
  </w:p>
  <w:p w14:paraId="222EB9F5" w14:textId="6F7FE3F7" w:rsidR="00C275C5" w:rsidRDefault="00C275C5">
    <w:pPr>
      <w:pStyle w:val="Footer"/>
    </w:pPr>
    <w:r>
      <w:t>MGS</w:t>
    </w:r>
    <w:r w:rsidR="0004274B">
      <w:t>-POL</w:t>
    </w:r>
    <w:r w:rsidR="00A57CCE">
      <w:t>-HR-020</w:t>
    </w:r>
    <w:r w:rsidR="00B2122B">
      <w:t xml:space="preserve"> – Revision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D787" w14:textId="77777777" w:rsidR="00614137" w:rsidRDefault="00614137" w:rsidP="00B40E15">
      <w:pPr>
        <w:spacing w:after="0" w:line="240" w:lineRule="auto"/>
      </w:pPr>
      <w:r>
        <w:separator/>
      </w:r>
    </w:p>
    <w:p w14:paraId="26C81030" w14:textId="77777777" w:rsidR="00614137" w:rsidRDefault="00614137"/>
  </w:footnote>
  <w:footnote w:type="continuationSeparator" w:id="0">
    <w:p w14:paraId="01A10793" w14:textId="77777777" w:rsidR="00614137" w:rsidRDefault="00614137" w:rsidP="00B40E15">
      <w:pPr>
        <w:spacing w:after="0" w:line="240" w:lineRule="auto"/>
      </w:pPr>
      <w:r>
        <w:continuationSeparator/>
      </w:r>
    </w:p>
    <w:p w14:paraId="19AC353F" w14:textId="77777777" w:rsidR="00614137" w:rsidRDefault="00614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C20B"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3D62B833" wp14:editId="0F415A7E">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5F187"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499C" w14:textId="77777777" w:rsidR="009214C5" w:rsidRPr="00235A34" w:rsidRDefault="009214C5" w:rsidP="009214C5">
    <w:r>
      <w:rPr>
        <w:noProof/>
      </w:rPr>
      <w:drawing>
        <wp:anchor distT="0" distB="540385" distL="114300" distR="114300" simplePos="0" relativeHeight="251675648" behindDoc="1" locked="1" layoutInCell="1" allowOverlap="0" wp14:anchorId="7ACC9696" wp14:editId="15B9E8BD">
          <wp:simplePos x="427512" y="391886"/>
          <wp:positionH relativeFrom="column">
            <wp:align>left</wp:align>
          </wp:positionH>
          <wp:positionV relativeFrom="page">
            <wp:posOffset>608965</wp:posOffset>
          </wp:positionV>
          <wp:extent cx="1062000" cy="914400"/>
          <wp:effectExtent l="0" t="0" r="5080" b="0"/>
          <wp:wrapTopAndBottom/>
          <wp:docPr id="751770540"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938819248"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18225209" wp14:editId="77B1DFA9">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D1B27"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7C2AC31B"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2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A1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62B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08BE6"/>
    <w:lvl w:ilvl="0">
      <w:start w:val="1"/>
      <w:numFmt w:val="bullet"/>
      <w:lvlText w:val="–"/>
      <w:lvlJc w:val="left"/>
      <w:pPr>
        <w:ind w:left="720" w:hanging="360"/>
      </w:pPr>
      <w:rPr>
        <w:rFonts w:ascii="Aptos Light" w:hAnsi="Aptos Light" w:hint="default"/>
      </w:rPr>
    </w:lvl>
  </w:abstractNum>
  <w:abstractNum w:abstractNumId="5" w15:restartNumberingAfterBreak="0">
    <w:nsid w:val="FFFFFF81"/>
    <w:multiLevelType w:val="singleLevel"/>
    <w:tmpl w:val="BA4CA016"/>
    <w:lvl w:ilvl="0">
      <w:start w:val="1"/>
      <w:numFmt w:val="bullet"/>
      <w:lvlText w:val="–"/>
      <w:lvlJc w:val="left"/>
      <w:pPr>
        <w:ind w:left="720" w:hanging="360"/>
      </w:pPr>
      <w:rPr>
        <w:rFonts w:ascii="Aptos Light" w:hAnsi="Aptos Light" w:hint="default"/>
      </w:rPr>
    </w:lvl>
  </w:abstractNum>
  <w:abstractNum w:abstractNumId="6" w15:restartNumberingAfterBreak="0">
    <w:nsid w:val="FFFFFF82"/>
    <w:multiLevelType w:val="singleLevel"/>
    <w:tmpl w:val="EE90C2D4"/>
    <w:lvl w:ilvl="0">
      <w:start w:val="1"/>
      <w:numFmt w:val="bullet"/>
      <w:lvlText w:val="–"/>
      <w:lvlJc w:val="left"/>
      <w:pPr>
        <w:ind w:left="720" w:hanging="360"/>
      </w:pPr>
      <w:rPr>
        <w:rFonts w:ascii="Aptos Light" w:hAnsi="Aptos Light" w:hint="default"/>
      </w:rPr>
    </w:lvl>
  </w:abstractNum>
  <w:abstractNum w:abstractNumId="7" w15:restartNumberingAfterBreak="0">
    <w:nsid w:val="FFFFFF83"/>
    <w:multiLevelType w:val="singleLevel"/>
    <w:tmpl w:val="8AB6FFE0"/>
    <w:lvl w:ilvl="0">
      <w:start w:val="1"/>
      <w:numFmt w:val="bullet"/>
      <w:lvlText w:val="–"/>
      <w:lvlJc w:val="left"/>
      <w:pPr>
        <w:ind w:left="720" w:hanging="360"/>
      </w:pPr>
      <w:rPr>
        <w:rFonts w:ascii="Aptos Light" w:hAnsi="Aptos Light" w:hint="default"/>
      </w:rPr>
    </w:lvl>
  </w:abstractNum>
  <w:abstractNum w:abstractNumId="8" w15:restartNumberingAfterBreak="0">
    <w:nsid w:val="FFFFFF88"/>
    <w:multiLevelType w:val="singleLevel"/>
    <w:tmpl w:val="6EEA8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CC4D4"/>
    <w:lvl w:ilvl="0">
      <w:start w:val="1"/>
      <w:numFmt w:val="bullet"/>
      <w:lvlText w:val="–"/>
      <w:lvlJc w:val="left"/>
      <w:pPr>
        <w:ind w:left="360" w:hanging="360"/>
      </w:pPr>
      <w:rPr>
        <w:rFonts w:ascii="Aptos Light" w:hAnsi="Aptos Light" w:hint="default"/>
      </w:rPr>
    </w:lvl>
  </w:abstractNum>
  <w:abstractNum w:abstractNumId="10" w15:restartNumberingAfterBreak="0">
    <w:nsid w:val="0531576A"/>
    <w:multiLevelType w:val="hybridMultilevel"/>
    <w:tmpl w:val="9FC8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89548FB"/>
    <w:multiLevelType w:val="multilevel"/>
    <w:tmpl w:val="1F5E9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3372F"/>
    <w:multiLevelType w:val="multilevel"/>
    <w:tmpl w:val="3FAAE6D2"/>
    <w:numStyleLink w:val="ListNumbered"/>
  </w:abstractNum>
  <w:abstractNum w:abstractNumId="14" w15:restartNumberingAfterBreak="0">
    <w:nsid w:val="33726122"/>
    <w:multiLevelType w:val="multilevel"/>
    <w:tmpl w:val="192E7F5A"/>
    <w:numStyleLink w:val="ListBullets"/>
  </w:abstractNum>
  <w:abstractNum w:abstractNumId="15" w15:restartNumberingAfterBreak="0">
    <w:nsid w:val="344E5E68"/>
    <w:multiLevelType w:val="hybridMultilevel"/>
    <w:tmpl w:val="179E722E"/>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6" w15:restartNumberingAfterBreak="0">
    <w:nsid w:val="35F07AA9"/>
    <w:multiLevelType w:val="hybridMultilevel"/>
    <w:tmpl w:val="DADE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F6882"/>
    <w:multiLevelType w:val="hybridMultilevel"/>
    <w:tmpl w:val="0ACCA0C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8"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60933408"/>
    <w:multiLevelType w:val="multilevel"/>
    <w:tmpl w:val="7F9E5448"/>
    <w:lvl w:ilvl="0">
      <w:start w:val="1"/>
      <w:numFmt w:val="bullet"/>
      <w:lvlText w:val="–"/>
      <w:lvlJc w:val="left"/>
      <w:pPr>
        <w:ind w:left="360" w:hanging="360"/>
      </w:pPr>
      <w:rPr>
        <w:rFonts w:ascii="Aptos Light" w:hAnsi="Aptos Light"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71063FF2"/>
    <w:multiLevelType w:val="hybridMultilevel"/>
    <w:tmpl w:val="C36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135BA"/>
    <w:multiLevelType w:val="multilevel"/>
    <w:tmpl w:val="3FAAE6D2"/>
    <w:numStyleLink w:val="ListNumbered"/>
  </w:abstractNum>
  <w:num w:numId="1" w16cid:durableId="338429929">
    <w:abstractNumId w:val="9"/>
  </w:num>
  <w:num w:numId="2" w16cid:durableId="2096197899">
    <w:abstractNumId w:val="7"/>
  </w:num>
  <w:num w:numId="3" w16cid:durableId="1300845350">
    <w:abstractNumId w:val="6"/>
  </w:num>
  <w:num w:numId="4" w16cid:durableId="158618800">
    <w:abstractNumId w:val="5"/>
  </w:num>
  <w:num w:numId="5" w16cid:durableId="1820489370">
    <w:abstractNumId w:val="4"/>
  </w:num>
  <w:num w:numId="6" w16cid:durableId="126053506">
    <w:abstractNumId w:val="8"/>
  </w:num>
  <w:num w:numId="7" w16cid:durableId="1834831310">
    <w:abstractNumId w:val="3"/>
  </w:num>
  <w:num w:numId="8" w16cid:durableId="255795945">
    <w:abstractNumId w:val="2"/>
  </w:num>
  <w:num w:numId="9" w16cid:durableId="1617831060">
    <w:abstractNumId w:val="1"/>
  </w:num>
  <w:num w:numId="10" w16cid:durableId="1071469544">
    <w:abstractNumId w:val="0"/>
  </w:num>
  <w:num w:numId="11" w16cid:durableId="2090957983">
    <w:abstractNumId w:val="8"/>
  </w:num>
  <w:num w:numId="12" w16cid:durableId="1221403053">
    <w:abstractNumId w:val="3"/>
  </w:num>
  <w:num w:numId="13" w16cid:durableId="1165705884">
    <w:abstractNumId w:val="2"/>
  </w:num>
  <w:num w:numId="14" w16cid:durableId="87627214">
    <w:abstractNumId w:val="1"/>
  </w:num>
  <w:num w:numId="15" w16cid:durableId="199784147">
    <w:abstractNumId w:val="0"/>
  </w:num>
  <w:num w:numId="16" w16cid:durableId="1284070831">
    <w:abstractNumId w:val="19"/>
  </w:num>
  <w:num w:numId="17" w16cid:durableId="1136534105">
    <w:abstractNumId w:val="21"/>
  </w:num>
  <w:num w:numId="18" w16cid:durableId="350449825">
    <w:abstractNumId w:val="14"/>
  </w:num>
  <w:num w:numId="19" w16cid:durableId="1520854374">
    <w:abstractNumId w:val="8"/>
  </w:num>
  <w:num w:numId="20" w16cid:durableId="1007487742">
    <w:abstractNumId w:val="3"/>
  </w:num>
  <w:num w:numId="21" w16cid:durableId="1629625766">
    <w:abstractNumId w:val="2"/>
  </w:num>
  <w:num w:numId="22" w16cid:durableId="1633168169">
    <w:abstractNumId w:val="1"/>
  </w:num>
  <w:num w:numId="23" w16cid:durableId="169492021">
    <w:abstractNumId w:val="0"/>
  </w:num>
  <w:num w:numId="24" w16cid:durableId="634794402">
    <w:abstractNumId w:val="11"/>
  </w:num>
  <w:num w:numId="25" w16cid:durableId="106051843">
    <w:abstractNumId w:val="20"/>
  </w:num>
  <w:num w:numId="26" w16cid:durableId="1333993397">
    <w:abstractNumId w:val="13"/>
  </w:num>
  <w:num w:numId="27" w16cid:durableId="1404134175">
    <w:abstractNumId w:val="23"/>
  </w:num>
  <w:num w:numId="28" w16cid:durableId="51080885">
    <w:abstractNumId w:val="18"/>
  </w:num>
  <w:num w:numId="29" w16cid:durableId="246691497">
    <w:abstractNumId w:val="17"/>
  </w:num>
  <w:num w:numId="30" w16cid:durableId="985936354">
    <w:abstractNumId w:val="22"/>
  </w:num>
  <w:num w:numId="31" w16cid:durableId="1364403435">
    <w:abstractNumId w:val="10"/>
  </w:num>
  <w:num w:numId="32" w16cid:durableId="2013797502">
    <w:abstractNumId w:val="16"/>
  </w:num>
  <w:num w:numId="33" w16cid:durableId="651763397">
    <w:abstractNumId w:val="15"/>
  </w:num>
  <w:num w:numId="34" w16cid:durableId="482935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B6"/>
    <w:rsid w:val="000071B6"/>
    <w:rsid w:val="00015217"/>
    <w:rsid w:val="00025E98"/>
    <w:rsid w:val="00027A38"/>
    <w:rsid w:val="00037E4C"/>
    <w:rsid w:val="0004274B"/>
    <w:rsid w:val="00044511"/>
    <w:rsid w:val="000445A4"/>
    <w:rsid w:val="000521A3"/>
    <w:rsid w:val="00066332"/>
    <w:rsid w:val="000850A3"/>
    <w:rsid w:val="00092009"/>
    <w:rsid w:val="000921E2"/>
    <w:rsid w:val="00093423"/>
    <w:rsid w:val="000936F1"/>
    <w:rsid w:val="000966B7"/>
    <w:rsid w:val="000968EF"/>
    <w:rsid w:val="00096ECC"/>
    <w:rsid w:val="000A2CDB"/>
    <w:rsid w:val="000A39C9"/>
    <w:rsid w:val="000A6ED4"/>
    <w:rsid w:val="000B2374"/>
    <w:rsid w:val="000B248C"/>
    <w:rsid w:val="000B67CB"/>
    <w:rsid w:val="000C13EC"/>
    <w:rsid w:val="000C3ABD"/>
    <w:rsid w:val="000C7E16"/>
    <w:rsid w:val="000E2182"/>
    <w:rsid w:val="000E3677"/>
    <w:rsid w:val="000E3CDC"/>
    <w:rsid w:val="000E58AA"/>
    <w:rsid w:val="000F1814"/>
    <w:rsid w:val="000F764E"/>
    <w:rsid w:val="00103CC4"/>
    <w:rsid w:val="00106E6A"/>
    <w:rsid w:val="0011080F"/>
    <w:rsid w:val="001115B9"/>
    <w:rsid w:val="0011638F"/>
    <w:rsid w:val="00121B2E"/>
    <w:rsid w:val="00135089"/>
    <w:rsid w:val="00137686"/>
    <w:rsid w:val="001445D6"/>
    <w:rsid w:val="001539D4"/>
    <w:rsid w:val="0015454E"/>
    <w:rsid w:val="0016613D"/>
    <w:rsid w:val="00167891"/>
    <w:rsid w:val="00171E76"/>
    <w:rsid w:val="00172B10"/>
    <w:rsid w:val="001745C5"/>
    <w:rsid w:val="00180A8C"/>
    <w:rsid w:val="001852BA"/>
    <w:rsid w:val="001873D4"/>
    <w:rsid w:val="00187CA3"/>
    <w:rsid w:val="001A053B"/>
    <w:rsid w:val="001C5F78"/>
    <w:rsid w:val="001C5FF0"/>
    <w:rsid w:val="001D155B"/>
    <w:rsid w:val="001D45C9"/>
    <w:rsid w:val="001F4D44"/>
    <w:rsid w:val="00212FA1"/>
    <w:rsid w:val="00217B8C"/>
    <w:rsid w:val="00223528"/>
    <w:rsid w:val="002429B6"/>
    <w:rsid w:val="00245103"/>
    <w:rsid w:val="0026113A"/>
    <w:rsid w:val="00261C74"/>
    <w:rsid w:val="0028777D"/>
    <w:rsid w:val="002912B5"/>
    <w:rsid w:val="002B7235"/>
    <w:rsid w:val="002E7A84"/>
    <w:rsid w:val="0030309C"/>
    <w:rsid w:val="00312DC8"/>
    <w:rsid w:val="00323EEA"/>
    <w:rsid w:val="00335130"/>
    <w:rsid w:val="003372E3"/>
    <w:rsid w:val="00346459"/>
    <w:rsid w:val="003479B9"/>
    <w:rsid w:val="003514D6"/>
    <w:rsid w:val="003533CE"/>
    <w:rsid w:val="00355C8C"/>
    <w:rsid w:val="0037165C"/>
    <w:rsid w:val="00375418"/>
    <w:rsid w:val="00376F09"/>
    <w:rsid w:val="00377A72"/>
    <w:rsid w:val="00383A5F"/>
    <w:rsid w:val="003845D2"/>
    <w:rsid w:val="0038621D"/>
    <w:rsid w:val="00386CB9"/>
    <w:rsid w:val="0039423E"/>
    <w:rsid w:val="003A1CFF"/>
    <w:rsid w:val="003A4FAB"/>
    <w:rsid w:val="003C0649"/>
    <w:rsid w:val="003D0804"/>
    <w:rsid w:val="003D428A"/>
    <w:rsid w:val="003D7F4E"/>
    <w:rsid w:val="003E1A39"/>
    <w:rsid w:val="003F04BD"/>
    <w:rsid w:val="00402A9C"/>
    <w:rsid w:val="00422B45"/>
    <w:rsid w:val="00430453"/>
    <w:rsid w:val="0043085B"/>
    <w:rsid w:val="004329EF"/>
    <w:rsid w:val="004458F2"/>
    <w:rsid w:val="00445A42"/>
    <w:rsid w:val="00446494"/>
    <w:rsid w:val="004517AA"/>
    <w:rsid w:val="00451CB6"/>
    <w:rsid w:val="004616A9"/>
    <w:rsid w:val="00475EE5"/>
    <w:rsid w:val="00476E84"/>
    <w:rsid w:val="00494760"/>
    <w:rsid w:val="004B53E8"/>
    <w:rsid w:val="004C4D88"/>
    <w:rsid w:val="004C6529"/>
    <w:rsid w:val="004D4B12"/>
    <w:rsid w:val="004E0BBE"/>
    <w:rsid w:val="004E3C66"/>
    <w:rsid w:val="004F0F47"/>
    <w:rsid w:val="004F2E75"/>
    <w:rsid w:val="00500A52"/>
    <w:rsid w:val="00520527"/>
    <w:rsid w:val="005253F3"/>
    <w:rsid w:val="00525FDC"/>
    <w:rsid w:val="00531045"/>
    <w:rsid w:val="00536C15"/>
    <w:rsid w:val="00547866"/>
    <w:rsid w:val="005600EC"/>
    <w:rsid w:val="0056012D"/>
    <w:rsid w:val="005627F1"/>
    <w:rsid w:val="00562DFE"/>
    <w:rsid w:val="005658D9"/>
    <w:rsid w:val="00571FE0"/>
    <w:rsid w:val="00575DF9"/>
    <w:rsid w:val="005A0113"/>
    <w:rsid w:val="005A6ADF"/>
    <w:rsid w:val="005B0473"/>
    <w:rsid w:val="005B65DD"/>
    <w:rsid w:val="005B766A"/>
    <w:rsid w:val="005C3A71"/>
    <w:rsid w:val="005D080B"/>
    <w:rsid w:val="005E6AEB"/>
    <w:rsid w:val="005F2770"/>
    <w:rsid w:val="00602C56"/>
    <w:rsid w:val="00611600"/>
    <w:rsid w:val="00611F81"/>
    <w:rsid w:val="0061287E"/>
    <w:rsid w:val="00614137"/>
    <w:rsid w:val="00621A00"/>
    <w:rsid w:val="00630289"/>
    <w:rsid w:val="00633BA7"/>
    <w:rsid w:val="00635C7E"/>
    <w:rsid w:val="00640770"/>
    <w:rsid w:val="00642E23"/>
    <w:rsid w:val="00652ED8"/>
    <w:rsid w:val="00664D38"/>
    <w:rsid w:val="00667B7F"/>
    <w:rsid w:val="0067437B"/>
    <w:rsid w:val="006749FA"/>
    <w:rsid w:val="00674B3A"/>
    <w:rsid w:val="006837B0"/>
    <w:rsid w:val="00686A77"/>
    <w:rsid w:val="00687DD5"/>
    <w:rsid w:val="00690FEB"/>
    <w:rsid w:val="006911F9"/>
    <w:rsid w:val="006A200C"/>
    <w:rsid w:val="006A442D"/>
    <w:rsid w:val="006B0CD8"/>
    <w:rsid w:val="006B552E"/>
    <w:rsid w:val="006B6541"/>
    <w:rsid w:val="006B6C4B"/>
    <w:rsid w:val="006C759F"/>
    <w:rsid w:val="006D0056"/>
    <w:rsid w:val="006D1C29"/>
    <w:rsid w:val="006D4CA2"/>
    <w:rsid w:val="006E1492"/>
    <w:rsid w:val="006E1FDC"/>
    <w:rsid w:val="006E2D06"/>
    <w:rsid w:val="006F02B9"/>
    <w:rsid w:val="006F57D7"/>
    <w:rsid w:val="006F74CB"/>
    <w:rsid w:val="006F78EC"/>
    <w:rsid w:val="0070661B"/>
    <w:rsid w:val="00706B19"/>
    <w:rsid w:val="007101A2"/>
    <w:rsid w:val="007166B1"/>
    <w:rsid w:val="0071708F"/>
    <w:rsid w:val="0072445F"/>
    <w:rsid w:val="00727A0B"/>
    <w:rsid w:val="00731D8B"/>
    <w:rsid w:val="007407AA"/>
    <w:rsid w:val="00744CFC"/>
    <w:rsid w:val="00746795"/>
    <w:rsid w:val="00754928"/>
    <w:rsid w:val="0075744B"/>
    <w:rsid w:val="007576BC"/>
    <w:rsid w:val="00785AA0"/>
    <w:rsid w:val="007870BC"/>
    <w:rsid w:val="00795AE6"/>
    <w:rsid w:val="007A1205"/>
    <w:rsid w:val="007A21C2"/>
    <w:rsid w:val="007A50C3"/>
    <w:rsid w:val="007A6EE9"/>
    <w:rsid w:val="007B662E"/>
    <w:rsid w:val="007C24BA"/>
    <w:rsid w:val="007C3655"/>
    <w:rsid w:val="007E12E9"/>
    <w:rsid w:val="007F17D9"/>
    <w:rsid w:val="007F3FB0"/>
    <w:rsid w:val="00815FFA"/>
    <w:rsid w:val="0081622D"/>
    <w:rsid w:val="008260A5"/>
    <w:rsid w:val="00836CAE"/>
    <w:rsid w:val="0084111A"/>
    <w:rsid w:val="00844996"/>
    <w:rsid w:val="0084738A"/>
    <w:rsid w:val="00847907"/>
    <w:rsid w:val="00862B10"/>
    <w:rsid w:val="00867FA2"/>
    <w:rsid w:val="00873F4D"/>
    <w:rsid w:val="008764C6"/>
    <w:rsid w:val="00880F54"/>
    <w:rsid w:val="008824F6"/>
    <w:rsid w:val="008A081F"/>
    <w:rsid w:val="008A10F5"/>
    <w:rsid w:val="008A18CA"/>
    <w:rsid w:val="008A67CA"/>
    <w:rsid w:val="008B10AA"/>
    <w:rsid w:val="008B2032"/>
    <w:rsid w:val="008B4733"/>
    <w:rsid w:val="008B654C"/>
    <w:rsid w:val="008D30B1"/>
    <w:rsid w:val="008D7C3F"/>
    <w:rsid w:val="008E3A33"/>
    <w:rsid w:val="008E4E0F"/>
    <w:rsid w:val="008E599D"/>
    <w:rsid w:val="008E7EB7"/>
    <w:rsid w:val="008F2717"/>
    <w:rsid w:val="009008FD"/>
    <w:rsid w:val="00900E26"/>
    <w:rsid w:val="00915D61"/>
    <w:rsid w:val="009214C5"/>
    <w:rsid w:val="00924416"/>
    <w:rsid w:val="009364D6"/>
    <w:rsid w:val="00946EEB"/>
    <w:rsid w:val="00951517"/>
    <w:rsid w:val="00951E79"/>
    <w:rsid w:val="00952BC3"/>
    <w:rsid w:val="009730FC"/>
    <w:rsid w:val="00977D33"/>
    <w:rsid w:val="0098240C"/>
    <w:rsid w:val="00985BF5"/>
    <w:rsid w:val="009902B3"/>
    <w:rsid w:val="009A102B"/>
    <w:rsid w:val="009A2A01"/>
    <w:rsid w:val="009A5EBE"/>
    <w:rsid w:val="009C7452"/>
    <w:rsid w:val="009D1439"/>
    <w:rsid w:val="009D58BB"/>
    <w:rsid w:val="009E02D9"/>
    <w:rsid w:val="009E232D"/>
    <w:rsid w:val="009F4525"/>
    <w:rsid w:val="00A03939"/>
    <w:rsid w:val="00A06C9B"/>
    <w:rsid w:val="00A1065A"/>
    <w:rsid w:val="00A229C1"/>
    <w:rsid w:val="00A42938"/>
    <w:rsid w:val="00A51C7A"/>
    <w:rsid w:val="00A57CCE"/>
    <w:rsid w:val="00A7639B"/>
    <w:rsid w:val="00A8049B"/>
    <w:rsid w:val="00A87440"/>
    <w:rsid w:val="00A90E87"/>
    <w:rsid w:val="00A94C63"/>
    <w:rsid w:val="00AA4B98"/>
    <w:rsid w:val="00AA4BD7"/>
    <w:rsid w:val="00AC6409"/>
    <w:rsid w:val="00AD2E96"/>
    <w:rsid w:val="00AD421A"/>
    <w:rsid w:val="00AD7EF6"/>
    <w:rsid w:val="00AE1C55"/>
    <w:rsid w:val="00AF5C0F"/>
    <w:rsid w:val="00B00743"/>
    <w:rsid w:val="00B02AC1"/>
    <w:rsid w:val="00B157AC"/>
    <w:rsid w:val="00B15CEC"/>
    <w:rsid w:val="00B20B03"/>
    <w:rsid w:val="00B2122B"/>
    <w:rsid w:val="00B21522"/>
    <w:rsid w:val="00B40E15"/>
    <w:rsid w:val="00B43223"/>
    <w:rsid w:val="00B65DAD"/>
    <w:rsid w:val="00B66791"/>
    <w:rsid w:val="00B77E05"/>
    <w:rsid w:val="00B825B9"/>
    <w:rsid w:val="00B839F2"/>
    <w:rsid w:val="00B85859"/>
    <w:rsid w:val="00BB521A"/>
    <w:rsid w:val="00BD6CD1"/>
    <w:rsid w:val="00BD7938"/>
    <w:rsid w:val="00BE0DEF"/>
    <w:rsid w:val="00BE4069"/>
    <w:rsid w:val="00BF3174"/>
    <w:rsid w:val="00C05D4C"/>
    <w:rsid w:val="00C15B94"/>
    <w:rsid w:val="00C275C5"/>
    <w:rsid w:val="00C302BC"/>
    <w:rsid w:val="00C3779C"/>
    <w:rsid w:val="00C4665F"/>
    <w:rsid w:val="00C51905"/>
    <w:rsid w:val="00C562FE"/>
    <w:rsid w:val="00C72D18"/>
    <w:rsid w:val="00C91300"/>
    <w:rsid w:val="00C9247B"/>
    <w:rsid w:val="00C94F0D"/>
    <w:rsid w:val="00CB61E6"/>
    <w:rsid w:val="00CB6875"/>
    <w:rsid w:val="00CB6BED"/>
    <w:rsid w:val="00CC43A9"/>
    <w:rsid w:val="00CC4D77"/>
    <w:rsid w:val="00CD013D"/>
    <w:rsid w:val="00CD520A"/>
    <w:rsid w:val="00CD5343"/>
    <w:rsid w:val="00CE46ED"/>
    <w:rsid w:val="00CE6AEE"/>
    <w:rsid w:val="00CF0995"/>
    <w:rsid w:val="00CF179B"/>
    <w:rsid w:val="00D168C8"/>
    <w:rsid w:val="00D16EC1"/>
    <w:rsid w:val="00D3104A"/>
    <w:rsid w:val="00D31AD2"/>
    <w:rsid w:val="00D349C4"/>
    <w:rsid w:val="00D448B4"/>
    <w:rsid w:val="00D46591"/>
    <w:rsid w:val="00D50375"/>
    <w:rsid w:val="00D5258A"/>
    <w:rsid w:val="00D55909"/>
    <w:rsid w:val="00D6194A"/>
    <w:rsid w:val="00D62FD5"/>
    <w:rsid w:val="00D63529"/>
    <w:rsid w:val="00D80489"/>
    <w:rsid w:val="00D832C5"/>
    <w:rsid w:val="00D9046A"/>
    <w:rsid w:val="00D92F10"/>
    <w:rsid w:val="00DA443B"/>
    <w:rsid w:val="00DA7A7A"/>
    <w:rsid w:val="00DB1C83"/>
    <w:rsid w:val="00DB2F9C"/>
    <w:rsid w:val="00DB55C5"/>
    <w:rsid w:val="00DB6D1C"/>
    <w:rsid w:val="00DC00F3"/>
    <w:rsid w:val="00DC3454"/>
    <w:rsid w:val="00DC4F66"/>
    <w:rsid w:val="00DC622C"/>
    <w:rsid w:val="00DD0F9D"/>
    <w:rsid w:val="00DD2B27"/>
    <w:rsid w:val="00E04DED"/>
    <w:rsid w:val="00E06CE6"/>
    <w:rsid w:val="00E1664A"/>
    <w:rsid w:val="00E1771F"/>
    <w:rsid w:val="00E23BD6"/>
    <w:rsid w:val="00E26826"/>
    <w:rsid w:val="00E32278"/>
    <w:rsid w:val="00E32C72"/>
    <w:rsid w:val="00E426EC"/>
    <w:rsid w:val="00E5224F"/>
    <w:rsid w:val="00E54AE2"/>
    <w:rsid w:val="00E67793"/>
    <w:rsid w:val="00E67D10"/>
    <w:rsid w:val="00E718A1"/>
    <w:rsid w:val="00E75986"/>
    <w:rsid w:val="00E76241"/>
    <w:rsid w:val="00E80CEB"/>
    <w:rsid w:val="00E819C8"/>
    <w:rsid w:val="00E851BB"/>
    <w:rsid w:val="00E93294"/>
    <w:rsid w:val="00E94DFE"/>
    <w:rsid w:val="00EB7996"/>
    <w:rsid w:val="00EC56FF"/>
    <w:rsid w:val="00ED470E"/>
    <w:rsid w:val="00ED51DA"/>
    <w:rsid w:val="00ED6791"/>
    <w:rsid w:val="00EE34F9"/>
    <w:rsid w:val="00EF0F22"/>
    <w:rsid w:val="00EF56ED"/>
    <w:rsid w:val="00F06B95"/>
    <w:rsid w:val="00F07EF7"/>
    <w:rsid w:val="00F123EC"/>
    <w:rsid w:val="00F12BD7"/>
    <w:rsid w:val="00F14703"/>
    <w:rsid w:val="00F148EF"/>
    <w:rsid w:val="00F25F65"/>
    <w:rsid w:val="00F355A5"/>
    <w:rsid w:val="00F44C42"/>
    <w:rsid w:val="00F47571"/>
    <w:rsid w:val="00F5023F"/>
    <w:rsid w:val="00F52AB2"/>
    <w:rsid w:val="00F55648"/>
    <w:rsid w:val="00F5640A"/>
    <w:rsid w:val="00F615A8"/>
    <w:rsid w:val="00F66F95"/>
    <w:rsid w:val="00F71243"/>
    <w:rsid w:val="00F8468B"/>
    <w:rsid w:val="00F86FC6"/>
    <w:rsid w:val="00F921C2"/>
    <w:rsid w:val="00F97B2B"/>
    <w:rsid w:val="00F97F26"/>
    <w:rsid w:val="00FA30BE"/>
    <w:rsid w:val="00FB0B43"/>
    <w:rsid w:val="00FC20E9"/>
    <w:rsid w:val="00FC5981"/>
    <w:rsid w:val="00FD5A45"/>
    <w:rsid w:val="00FD6D9B"/>
    <w:rsid w:val="00FE1FAB"/>
    <w:rsid w:val="00FE4071"/>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D64E7"/>
  <w14:defaultImageDpi w14:val="32767"/>
  <w15:chartTrackingRefBased/>
  <w15:docId w15:val="{A10522BA-A64F-43B4-BCEC-429F2C6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9"/>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9"/>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9"/>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qFormat/>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836CA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18"/>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18"/>
      </w:numPr>
      <w:spacing w:after="120"/>
      <w:ind w:left="1418"/>
    </w:pPr>
  </w:style>
  <w:style w:type="numbering" w:customStyle="1" w:styleId="ListBullets">
    <w:name w:val="List Bullets"/>
    <w:uiPriority w:val="99"/>
    <w:rsid w:val="007101A2"/>
    <w:pPr>
      <w:numPr>
        <w:numId w:val="17"/>
      </w:numPr>
    </w:pPr>
  </w:style>
  <w:style w:type="paragraph" w:styleId="ListNumber">
    <w:name w:val="List Number"/>
    <w:basedOn w:val="Normal"/>
    <w:uiPriority w:val="2"/>
    <w:qFormat/>
    <w:rsid w:val="00355C8C"/>
    <w:pPr>
      <w:numPr>
        <w:numId w:val="27"/>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24"/>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5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25"/>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28"/>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paragraph" w:styleId="BodyText">
    <w:name w:val="Body Text"/>
    <w:basedOn w:val="Normal"/>
    <w:link w:val="BodyTextChar"/>
    <w:rsid w:val="00451CB6"/>
    <w:pPr>
      <w:spacing w:after="120" w:line="240" w:lineRule="auto"/>
    </w:pPr>
    <w:rPr>
      <w:rFonts w:ascii="Arial" w:eastAsia="Times New Roman" w:hAnsi="Arial" w:cs="Times New Roman"/>
      <w:color w:val="auto"/>
      <w:kern w:val="0"/>
      <w:sz w:val="22"/>
      <w:szCs w:val="24"/>
      <w14:ligatures w14:val="none"/>
    </w:rPr>
  </w:style>
  <w:style w:type="character" w:customStyle="1" w:styleId="BodyTextChar">
    <w:name w:val="Body Text Char"/>
    <w:basedOn w:val="DefaultParagraphFont"/>
    <w:link w:val="BodyText"/>
    <w:rsid w:val="00451CB6"/>
    <w:rPr>
      <w:rFonts w:ascii="Arial" w:eastAsia="Times New Roman" w:hAnsi="Arial" w:cs="Times New Roman"/>
      <w:color w:val="auto"/>
      <w:kern w:val="0"/>
      <w:sz w:val="22"/>
      <w:szCs w:val="24"/>
      <w14:ligatures w14:val="none"/>
    </w:rPr>
  </w:style>
  <w:style w:type="character" w:styleId="UnresolvedMention">
    <w:name w:val="Unresolved Mention"/>
    <w:basedOn w:val="DefaultParagraphFont"/>
    <w:uiPriority w:val="99"/>
    <w:semiHidden/>
    <w:unhideWhenUsed/>
    <w:rsid w:val="00E23BD6"/>
    <w:rPr>
      <w:color w:val="605E5C"/>
      <w:shd w:val="clear" w:color="auto" w:fill="E1DFDD"/>
    </w:rPr>
  </w:style>
  <w:style w:type="character" w:styleId="FollowedHyperlink">
    <w:name w:val="FollowedHyperlink"/>
    <w:basedOn w:val="DefaultParagraphFont"/>
    <w:uiPriority w:val="99"/>
    <w:semiHidden/>
    <w:unhideWhenUsed/>
    <w:rsid w:val="00DD0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3748">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1018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rl.uk.m.mimecastprotect.com/s/OgnZC5yrQHGQMADcxt0UkzwSn?domain=mgroupspeakup.ethicspoin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rrisonus.sharepoint.com/sites/MGroupServicesOfficeTemplates/Office%20Templates/Group/Group_Normal.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9D63B85A57FF4E98BFC3D6B7FBA1E2" ma:contentTypeVersion="4" ma:contentTypeDescription="Create a new document." ma:contentTypeScope="" ma:versionID="89bc03d51ab7e8419598fec9b3cd2388">
  <xsd:schema xmlns:xsd="http://www.w3.org/2001/XMLSchema" xmlns:xs="http://www.w3.org/2001/XMLSchema" xmlns:p="http://schemas.microsoft.com/office/2006/metadata/properties" xmlns:ns2="52043de5-d9f1-4ef8-8631-e06864115ff8" targetNamespace="http://schemas.microsoft.com/office/2006/metadata/properties" ma:root="true" ma:fieldsID="cfa76f7780ae0f92c585dbad4468e1f5" ns2:_="">
    <xsd:import namespace="52043de5-d9f1-4ef8-8631-e06864115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43de5-d9f1-4ef8-8631-e0686411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C_Map_Root xmlns="http://MGroup/CC_Mapping_Part">
  <Date/>
  <Sender_Name/>
  <Recipient_Name/>
</CC_Map_Root>
</file>

<file path=customXml/itemProps1.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3.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customXml/itemProps4.xml><?xml version="1.0" encoding="utf-8"?>
<ds:datastoreItem xmlns:ds="http://schemas.openxmlformats.org/officeDocument/2006/customXml" ds:itemID="{B4AC10A3-C41B-43A2-8253-56000DAA2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43de5-d9f1-4ef8-8631-e0686411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E2B31B-A80F-45D3-BF22-D6B58D14BA73}">
  <ds:schemaRefs>
    <ds:schemaRef ds:uri="http://MGroup/CC_Mapping_Part"/>
  </ds:schemaRefs>
</ds:datastoreItem>
</file>

<file path=docProps/app.xml><?xml version="1.0" encoding="utf-8"?>
<Properties xmlns="http://schemas.openxmlformats.org/officeDocument/2006/extended-properties" xmlns:vt="http://schemas.openxmlformats.org/officeDocument/2006/docPropsVTypes">
  <Template>Group_Normal</Template>
  <TotalTime>91</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Erica</dc:creator>
  <cp:keywords/>
  <dc:description/>
  <cp:lastModifiedBy>Edgar, Lucy</cp:lastModifiedBy>
  <cp:revision>6</cp:revision>
  <dcterms:created xsi:type="dcterms:W3CDTF">2025-08-13T11:33:00Z</dcterms:created>
  <dcterms:modified xsi:type="dcterms:W3CDTF">2025-08-19T18:48:00Z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0x010100979D63B85A57FF4E98BFC3D6B7FBA1E2</vt:lpwstr>
  </property>
  <property fmtid="{D5CDD505-2E9C-101B-9397-08002B2CF9AE}" pid="11" name="MediaServiceImageTags">
    <vt:lpwstr/>
  </property>
</Properties>
</file>